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4A42" w14:textId="77777777" w:rsidR="00282427" w:rsidRDefault="00282427" w:rsidP="00282427">
      <w:pPr>
        <w:jc w:val="center"/>
        <w:rPr>
          <w:b/>
          <w:bCs/>
          <w:sz w:val="40"/>
          <w:szCs w:val="40"/>
        </w:rPr>
      </w:pPr>
    </w:p>
    <w:p w14:paraId="23F54528" w14:textId="1CF01806" w:rsidR="00E82374" w:rsidRDefault="00282427" w:rsidP="00282427">
      <w:pPr>
        <w:jc w:val="center"/>
        <w:rPr>
          <w:b/>
          <w:bCs/>
          <w:sz w:val="40"/>
          <w:szCs w:val="40"/>
        </w:rPr>
      </w:pPr>
      <w:r w:rsidRPr="00282427">
        <w:rPr>
          <w:b/>
          <w:bCs/>
          <w:sz w:val="40"/>
          <w:szCs w:val="40"/>
        </w:rPr>
        <w:t>RENT CONSULTATION 2023/24</w:t>
      </w:r>
    </w:p>
    <w:p w14:paraId="41D65804" w14:textId="56FB64BC" w:rsidR="00FE0612" w:rsidRDefault="00FE0612" w:rsidP="00282427">
      <w:pPr>
        <w:jc w:val="center"/>
        <w:rPr>
          <w:b/>
          <w:bCs/>
          <w:sz w:val="40"/>
          <w:szCs w:val="40"/>
        </w:rPr>
      </w:pPr>
    </w:p>
    <w:p w14:paraId="05546933" w14:textId="12548865" w:rsidR="00FE0612" w:rsidRDefault="00FE06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0014D60" w14:textId="6B03E8D7" w:rsidR="00FE0612" w:rsidRDefault="00FE0612" w:rsidP="00FE0612">
      <w:pPr>
        <w:rPr>
          <w:b/>
          <w:bCs/>
          <w:szCs w:val="24"/>
          <w:u w:val="single"/>
        </w:rPr>
      </w:pPr>
      <w:r w:rsidRPr="00FE0612">
        <w:rPr>
          <w:szCs w:val="24"/>
        </w:rPr>
        <w:lastRenderedPageBreak/>
        <w:t>1.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INTRODUCTION</w:t>
      </w:r>
    </w:p>
    <w:p w14:paraId="10088256" w14:textId="317CD06B" w:rsidR="00FE0612" w:rsidRDefault="00FE0612" w:rsidP="00FE0612">
      <w:pPr>
        <w:rPr>
          <w:b/>
          <w:bCs/>
          <w:szCs w:val="24"/>
          <w:u w:val="single"/>
        </w:rPr>
      </w:pPr>
    </w:p>
    <w:p w14:paraId="1C547509" w14:textId="5374E031" w:rsidR="00FE0612" w:rsidRDefault="00FE0612" w:rsidP="00FE0612">
      <w:pPr>
        <w:rPr>
          <w:szCs w:val="24"/>
        </w:rPr>
      </w:pPr>
      <w:r>
        <w:rPr>
          <w:b/>
          <w:bCs/>
          <w:szCs w:val="24"/>
        </w:rPr>
        <w:tab/>
      </w:r>
      <w:r>
        <w:rPr>
          <w:szCs w:val="24"/>
        </w:rPr>
        <w:t xml:space="preserve">Management Committee Members will be aware that the Association has a legal </w:t>
      </w:r>
      <w:r>
        <w:rPr>
          <w:szCs w:val="24"/>
        </w:rPr>
        <w:tab/>
        <w:t xml:space="preserve">obligation to consult with our tenants when considering an increase in the level of </w:t>
      </w:r>
      <w:r>
        <w:rPr>
          <w:szCs w:val="24"/>
        </w:rPr>
        <w:tab/>
        <w:t xml:space="preserve">rents and service charges charged. </w:t>
      </w:r>
    </w:p>
    <w:p w14:paraId="45C9A858" w14:textId="644C0B10" w:rsidR="00FE0612" w:rsidRDefault="00FE0612" w:rsidP="00FE0612">
      <w:pPr>
        <w:rPr>
          <w:szCs w:val="24"/>
        </w:rPr>
      </w:pPr>
    </w:p>
    <w:p w14:paraId="41894C2A" w14:textId="448D32C9" w:rsidR="00D06E30" w:rsidRDefault="00FE0612" w:rsidP="00FE0612">
      <w:pPr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  <w:t xml:space="preserve">The tenant consultation exercise </w:t>
      </w:r>
      <w:r w:rsidR="00D06E30">
        <w:rPr>
          <w:szCs w:val="24"/>
        </w:rPr>
        <w:t>would</w:t>
      </w:r>
      <w:r>
        <w:rPr>
          <w:szCs w:val="24"/>
        </w:rPr>
        <w:t xml:space="preserve"> normally </w:t>
      </w:r>
      <w:r w:rsidR="00D06E30">
        <w:rPr>
          <w:szCs w:val="24"/>
        </w:rPr>
        <w:t xml:space="preserve">be </w:t>
      </w:r>
      <w:r>
        <w:rPr>
          <w:szCs w:val="24"/>
        </w:rPr>
        <w:t xml:space="preserve">carried out between November </w:t>
      </w:r>
      <w:r w:rsidR="00D06E30">
        <w:rPr>
          <w:szCs w:val="24"/>
        </w:rPr>
        <w:tab/>
      </w:r>
      <w:r>
        <w:rPr>
          <w:szCs w:val="24"/>
        </w:rPr>
        <w:t xml:space="preserve">and December each year, however following the </w:t>
      </w:r>
      <w:r w:rsidR="00D06E30">
        <w:rPr>
          <w:szCs w:val="24"/>
        </w:rPr>
        <w:t>implementation</w:t>
      </w:r>
      <w:r>
        <w:rPr>
          <w:szCs w:val="24"/>
        </w:rPr>
        <w:t xml:space="preserve"> of regulation from </w:t>
      </w:r>
      <w:r w:rsidR="00D06E30">
        <w:rPr>
          <w:szCs w:val="24"/>
        </w:rPr>
        <w:tab/>
      </w:r>
      <w:r>
        <w:rPr>
          <w:szCs w:val="24"/>
        </w:rPr>
        <w:t xml:space="preserve">the Scottish Government/Scottish Parliament in September 2022 </w:t>
      </w:r>
      <w:r w:rsidR="00D06E30">
        <w:rPr>
          <w:szCs w:val="24"/>
        </w:rPr>
        <w:t xml:space="preserve">brought into effect  </w:t>
      </w:r>
      <w:r w:rsidR="00D06E30">
        <w:rPr>
          <w:szCs w:val="24"/>
        </w:rPr>
        <w:tab/>
        <w:t>by The Cost of Living (Tenant Protection) (Scotland) Act 2022</w:t>
      </w:r>
      <w:r w:rsidR="00126B5C">
        <w:rPr>
          <w:szCs w:val="24"/>
        </w:rPr>
        <w:t>,</w:t>
      </w:r>
      <w:r w:rsidR="00D06E30">
        <w:rPr>
          <w:szCs w:val="24"/>
        </w:rPr>
        <w:t xml:space="preserve"> this has been </w:t>
      </w:r>
      <w:r w:rsidR="00126B5C">
        <w:rPr>
          <w:szCs w:val="24"/>
        </w:rPr>
        <w:tab/>
      </w:r>
      <w:r w:rsidR="00D06E30">
        <w:rPr>
          <w:szCs w:val="24"/>
        </w:rPr>
        <w:t>delayed.</w:t>
      </w:r>
    </w:p>
    <w:p w14:paraId="4DBC55A4" w14:textId="77777777" w:rsidR="00D06E30" w:rsidRDefault="00D06E30" w:rsidP="00FE0612">
      <w:pPr>
        <w:rPr>
          <w:szCs w:val="24"/>
        </w:rPr>
      </w:pPr>
    </w:p>
    <w:p w14:paraId="66DD9F92" w14:textId="77777777" w:rsidR="004F6585" w:rsidRDefault="004F6585" w:rsidP="00FE0612">
      <w:pPr>
        <w:rPr>
          <w:b/>
          <w:bCs/>
          <w:szCs w:val="24"/>
          <w:u w:val="single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b/>
          <w:bCs/>
          <w:szCs w:val="24"/>
          <w:u w:val="single"/>
        </w:rPr>
        <w:t>COST OF LIVING</w:t>
      </w:r>
    </w:p>
    <w:p w14:paraId="248772FC" w14:textId="77777777" w:rsidR="004F6585" w:rsidRDefault="004F6585" w:rsidP="00FE0612">
      <w:pPr>
        <w:rPr>
          <w:b/>
          <w:bCs/>
          <w:szCs w:val="24"/>
          <w:u w:val="single"/>
        </w:rPr>
      </w:pPr>
    </w:p>
    <w:p w14:paraId="56D79BFC" w14:textId="7852A460" w:rsidR="00126B5C" w:rsidRPr="004F6585" w:rsidRDefault="004F6585" w:rsidP="00FE0612">
      <w:pPr>
        <w:rPr>
          <w:szCs w:val="24"/>
        </w:rPr>
      </w:pPr>
      <w:r>
        <w:rPr>
          <w:szCs w:val="24"/>
        </w:rPr>
        <w:tab/>
        <w:t xml:space="preserve">The Scottish Government enacted the ‘The Cost of Living (Tenant Protection) </w:t>
      </w:r>
      <w:r>
        <w:rPr>
          <w:szCs w:val="24"/>
        </w:rPr>
        <w:tab/>
        <w:t xml:space="preserve">(Scotland) Act 2022’ in response to the wider macro-economic conditions prevailing </w:t>
      </w:r>
      <w:r>
        <w:rPr>
          <w:szCs w:val="24"/>
        </w:rPr>
        <w:tab/>
        <w:t xml:space="preserve">within the UK, e.g. rising </w:t>
      </w:r>
      <w:proofErr w:type="gramStart"/>
      <w:r>
        <w:rPr>
          <w:szCs w:val="24"/>
        </w:rPr>
        <w:t>food</w:t>
      </w:r>
      <w:proofErr w:type="gramEnd"/>
      <w:r>
        <w:rPr>
          <w:szCs w:val="24"/>
        </w:rPr>
        <w:t xml:space="preserve"> and energy prices </w:t>
      </w:r>
      <w:r w:rsidR="00B413EB">
        <w:rPr>
          <w:szCs w:val="24"/>
        </w:rPr>
        <w:t xml:space="preserve">as a result of a 40 year high in the </w:t>
      </w:r>
      <w:r w:rsidR="00B413EB">
        <w:rPr>
          <w:szCs w:val="24"/>
        </w:rPr>
        <w:tab/>
        <w:t xml:space="preserve">rate of inflation to 11.1% in October 2022, </w:t>
      </w:r>
      <w:r>
        <w:rPr>
          <w:szCs w:val="24"/>
        </w:rPr>
        <w:t xml:space="preserve">and to provide some </w:t>
      </w:r>
      <w:r w:rsidR="006A499C">
        <w:rPr>
          <w:szCs w:val="24"/>
        </w:rPr>
        <w:t>short-term</w:t>
      </w:r>
      <w:r>
        <w:rPr>
          <w:szCs w:val="24"/>
        </w:rPr>
        <w:t xml:space="preserve"> comfort to </w:t>
      </w:r>
      <w:r w:rsidR="00B413EB">
        <w:rPr>
          <w:szCs w:val="24"/>
        </w:rPr>
        <w:tab/>
      </w:r>
      <w:r>
        <w:rPr>
          <w:szCs w:val="24"/>
        </w:rPr>
        <w:t xml:space="preserve">tenants by effectively imposing a rent </w:t>
      </w:r>
      <w:r>
        <w:rPr>
          <w:i/>
          <w:iCs/>
          <w:szCs w:val="24"/>
        </w:rPr>
        <w:t>‘freeze’</w:t>
      </w:r>
      <w:r>
        <w:rPr>
          <w:szCs w:val="24"/>
        </w:rPr>
        <w:t xml:space="preserve"> or a ‘0%’ Cap and a halt to eviction </w:t>
      </w:r>
      <w:r w:rsidR="00B413EB">
        <w:rPr>
          <w:szCs w:val="24"/>
        </w:rPr>
        <w:tab/>
      </w:r>
      <w:r>
        <w:rPr>
          <w:szCs w:val="24"/>
        </w:rPr>
        <w:t>actions over the winter months.</w:t>
      </w:r>
    </w:p>
    <w:p w14:paraId="26092676" w14:textId="0C7E32A1" w:rsidR="00282427" w:rsidRDefault="00282427" w:rsidP="00B413EB">
      <w:pPr>
        <w:rPr>
          <w:b/>
          <w:bCs/>
          <w:sz w:val="32"/>
          <w:szCs w:val="32"/>
        </w:rPr>
      </w:pPr>
    </w:p>
    <w:p w14:paraId="38E64741" w14:textId="20F4DF00" w:rsidR="00B413EB" w:rsidRDefault="00B413EB" w:rsidP="00B413EB">
      <w:pPr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ab/>
        <w:t xml:space="preserve">The Act prohibited any increase of rent taking place until 31 March 2023. The Act </w:t>
      </w:r>
      <w:r>
        <w:rPr>
          <w:szCs w:val="24"/>
        </w:rPr>
        <w:tab/>
        <w:t xml:space="preserve">required Ministers to report recommendations to amend or rescind the regulation by </w:t>
      </w:r>
      <w:r>
        <w:rPr>
          <w:szCs w:val="24"/>
        </w:rPr>
        <w:tab/>
        <w:t xml:space="preserve">14 January 2023, therefore we decided to await confirmation from the Scottish </w:t>
      </w:r>
      <w:r>
        <w:rPr>
          <w:szCs w:val="24"/>
        </w:rPr>
        <w:tab/>
        <w:t>Government of the position from 1</w:t>
      </w:r>
      <w:r w:rsidRPr="002A0A3B">
        <w:rPr>
          <w:szCs w:val="24"/>
          <w:vertAlign w:val="superscript"/>
        </w:rPr>
        <w:t>st</w:t>
      </w:r>
      <w:r>
        <w:rPr>
          <w:szCs w:val="24"/>
        </w:rPr>
        <w:t xml:space="preserve"> April 2023, the date at which any increase to our </w:t>
      </w:r>
      <w:r>
        <w:rPr>
          <w:szCs w:val="24"/>
        </w:rPr>
        <w:tab/>
        <w:t>rents and/or service charges would take effect.</w:t>
      </w:r>
    </w:p>
    <w:p w14:paraId="7548593C" w14:textId="77777777" w:rsidR="00B413EB" w:rsidRDefault="00B413EB" w:rsidP="00B413EB">
      <w:pPr>
        <w:rPr>
          <w:szCs w:val="24"/>
        </w:rPr>
      </w:pPr>
    </w:p>
    <w:p w14:paraId="73943DB7" w14:textId="4029A6C0" w:rsidR="00B413EB" w:rsidRDefault="00B413EB" w:rsidP="00B413EB">
      <w:pPr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ab/>
        <w:t>The Regulation was time limited to 6 months from September 2022 to 31</w:t>
      </w:r>
      <w:r w:rsidRPr="002A0A3B">
        <w:rPr>
          <w:szCs w:val="24"/>
          <w:vertAlign w:val="superscript"/>
        </w:rPr>
        <w:t>st</w:t>
      </w:r>
      <w:r>
        <w:rPr>
          <w:szCs w:val="24"/>
        </w:rPr>
        <w:t xml:space="preserve"> March </w:t>
      </w:r>
      <w:r>
        <w:rPr>
          <w:szCs w:val="24"/>
        </w:rPr>
        <w:tab/>
        <w:t xml:space="preserve">2023.  In effect neither the Private Rented Sector nor the Social housing sector could </w:t>
      </w:r>
      <w:r>
        <w:rPr>
          <w:szCs w:val="24"/>
        </w:rPr>
        <w:tab/>
        <w:t xml:space="preserve">raise rents, this gave rise to the common phrase of imposing a </w:t>
      </w:r>
      <w:r w:rsidRPr="00B413EB">
        <w:rPr>
          <w:i/>
          <w:iCs/>
          <w:szCs w:val="24"/>
        </w:rPr>
        <w:t>rent freeze</w:t>
      </w:r>
      <w:r>
        <w:rPr>
          <w:szCs w:val="24"/>
        </w:rPr>
        <w:t xml:space="preserve"> by </w:t>
      </w:r>
      <w:r>
        <w:rPr>
          <w:szCs w:val="24"/>
        </w:rPr>
        <w:tab/>
        <w:t>Scottish Ministers for the whole period.</w:t>
      </w:r>
    </w:p>
    <w:p w14:paraId="60690B60" w14:textId="72C69918" w:rsidR="00B413EB" w:rsidRDefault="00B413EB" w:rsidP="00B413EB">
      <w:pPr>
        <w:rPr>
          <w:b/>
          <w:bCs/>
          <w:sz w:val="32"/>
          <w:szCs w:val="32"/>
        </w:rPr>
      </w:pPr>
    </w:p>
    <w:p w14:paraId="082E0B83" w14:textId="25E0D5A2" w:rsidR="005D1C3B" w:rsidRDefault="00B413EB" w:rsidP="0044656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 w:rsidRPr="005D1C3B">
        <w:rPr>
          <w:rFonts w:ascii="Arial" w:hAnsi="Arial" w:cs="Arial"/>
        </w:rPr>
        <w:t>2.3</w:t>
      </w:r>
      <w:r>
        <w:tab/>
      </w:r>
      <w:r w:rsidR="0044656D" w:rsidRPr="0044656D">
        <w:rPr>
          <w:rFonts w:ascii="Arial" w:hAnsi="Arial" w:cs="Arial"/>
        </w:rPr>
        <w:t>The Minister has reported back to Parliament</w:t>
      </w:r>
      <w:r w:rsidR="0044656D">
        <w:t>,</w:t>
      </w:r>
      <w:r w:rsidR="0044656D">
        <w:rPr>
          <w:rStyle w:val="EndnoteReference"/>
        </w:rPr>
        <w:endnoteReference w:id="1"/>
      </w:r>
      <w:r w:rsidR="0044656D">
        <w:t xml:space="preserve"> </w:t>
      </w:r>
      <w:r w:rsidR="005D1C3B">
        <w:t>“</w:t>
      </w:r>
      <w:r w:rsidR="005D1C3B">
        <w:rPr>
          <w:rFonts w:ascii="Arial" w:hAnsi="Arial" w:cs="Arial"/>
        </w:rPr>
        <w:t xml:space="preserve">First Report to the Scottish </w:t>
      </w:r>
      <w:r w:rsidR="005D1C3B">
        <w:rPr>
          <w:rFonts w:ascii="Arial" w:hAnsi="Arial" w:cs="Arial"/>
        </w:rPr>
        <w:tab/>
        <w:t xml:space="preserve">Parliament on the Cost of Living (Tenant) (Protection) (Scotland) Act 2022, covering </w:t>
      </w:r>
      <w:r w:rsidR="005D1C3B">
        <w:rPr>
          <w:rFonts w:ascii="Arial" w:hAnsi="Arial" w:cs="Arial"/>
        </w:rPr>
        <w:tab/>
        <w:t>the period 28 October to 31 December 2022</w:t>
      </w:r>
      <w:r w:rsidR="0088530A">
        <w:rPr>
          <w:rFonts w:ascii="Arial" w:hAnsi="Arial" w:cs="Arial"/>
        </w:rPr>
        <w:t xml:space="preserve"> </w:t>
      </w:r>
      <w:r w:rsidR="005D1C3B">
        <w:rPr>
          <w:rFonts w:ascii="Arial" w:hAnsi="Arial" w:cs="Arial"/>
        </w:rPr>
        <w:t>as required by section 9 (1)(a)”</w:t>
      </w:r>
      <w:r w:rsidR="0088530A">
        <w:rPr>
          <w:rFonts w:ascii="Arial" w:hAnsi="Arial" w:cs="Arial"/>
        </w:rPr>
        <w:t xml:space="preserve">, </w:t>
      </w:r>
      <w:r w:rsidR="0044656D" w:rsidRPr="0044656D">
        <w:rPr>
          <w:rFonts w:ascii="Arial" w:hAnsi="Arial" w:cs="Arial"/>
        </w:rPr>
        <w:t xml:space="preserve">noting, </w:t>
      </w:r>
      <w:r w:rsidR="005D1C3B">
        <w:rPr>
          <w:rFonts w:ascii="Arial" w:hAnsi="Arial" w:cs="Arial"/>
        </w:rPr>
        <w:tab/>
      </w:r>
      <w:r w:rsidR="0088530A">
        <w:rPr>
          <w:rFonts w:ascii="Arial" w:hAnsi="Arial" w:cs="Arial"/>
        </w:rPr>
        <w:t>“</w:t>
      </w:r>
      <w:r w:rsidR="0044656D" w:rsidRPr="0044656D">
        <w:rPr>
          <w:rFonts w:ascii="Arial" w:hAnsi="Arial" w:cs="Arial"/>
          <w:color w:val="333333"/>
        </w:rPr>
        <w:t>Inflation as measured</w:t>
      </w:r>
      <w:r w:rsidR="005D1C3B">
        <w:rPr>
          <w:rFonts w:ascii="Arial" w:hAnsi="Arial" w:cs="Arial"/>
          <w:color w:val="333333"/>
        </w:rPr>
        <w:t xml:space="preserve"> </w:t>
      </w:r>
      <w:r w:rsidR="0044656D" w:rsidRPr="0044656D">
        <w:rPr>
          <w:rFonts w:ascii="Arial" w:hAnsi="Arial" w:cs="Arial"/>
          <w:color w:val="333333"/>
        </w:rPr>
        <w:t xml:space="preserve">by the Consumer Price Index ("CPI") increased from an </w:t>
      </w:r>
      <w:r w:rsidR="0088530A"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>annual 9.9% in August to 10.1% in September, and then to 11.1% in October</w:t>
      </w:r>
      <w:r w:rsidR="005D1C3B">
        <w:rPr>
          <w:rFonts w:ascii="Arial" w:hAnsi="Arial" w:cs="Arial"/>
          <w:color w:val="333333"/>
        </w:rPr>
        <w:t xml:space="preserve"> </w:t>
      </w:r>
      <w:r w:rsidR="0044656D" w:rsidRPr="0044656D">
        <w:rPr>
          <w:rFonts w:ascii="Arial" w:hAnsi="Arial" w:cs="Arial"/>
          <w:color w:val="333333"/>
        </w:rPr>
        <w:t>2022</w:t>
      </w:r>
      <w:hyperlink r:id="rId8" w:history="1">
        <w:r w:rsidR="0044656D" w:rsidRPr="0044656D">
          <w:rPr>
            <w:rStyle w:val="Hyperlink"/>
            <w:rFonts w:ascii="Arial" w:hAnsi="Arial" w:cs="Arial"/>
            <w:color w:val="0065BD"/>
            <w:vertAlign w:val="superscript"/>
          </w:rPr>
          <w:t>[5]</w:t>
        </w:r>
      </w:hyperlink>
      <w:r w:rsidR="0044656D" w:rsidRPr="0044656D">
        <w:rPr>
          <w:rFonts w:ascii="Arial" w:hAnsi="Arial" w:cs="Arial"/>
          <w:color w:val="333333"/>
        </w:rPr>
        <w:t xml:space="preserve">. </w:t>
      </w:r>
    </w:p>
    <w:p w14:paraId="3F25E57E" w14:textId="6102E6C2" w:rsidR="0044656D" w:rsidRPr="0044656D" w:rsidRDefault="005D1C3B" w:rsidP="0044656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2.4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 xml:space="preserve">Although the rate eased slightly to 10.7% in November, this was still above the level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 xml:space="preserve">in August, and not much below the level in October, which was the highest </w:t>
      </w:r>
      <w:r w:rsidR="0044656D"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>level since October 1981.</w:t>
      </w:r>
      <w:hyperlink r:id="rId9" w:history="1">
        <w:r w:rsidR="0044656D" w:rsidRPr="0044656D">
          <w:rPr>
            <w:rStyle w:val="Hyperlink"/>
            <w:rFonts w:ascii="Arial" w:hAnsi="Arial" w:cs="Arial"/>
            <w:color w:val="0065BD"/>
            <w:vertAlign w:val="superscript"/>
          </w:rPr>
          <w:t>[6]</w:t>
        </w:r>
      </w:hyperlink>
      <w:r w:rsidR="0044656D" w:rsidRPr="0044656D">
        <w:rPr>
          <w:rFonts w:ascii="Arial" w:hAnsi="Arial" w:cs="Arial"/>
          <w:color w:val="333333"/>
        </w:rPr>
        <w:t xml:space="preserve"> While the main driver of high inflation is the price of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 xml:space="preserve">energy (the housing, water, electricity, gas and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 xml:space="preserve">other fuels component rose by 26.6%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 xml:space="preserve">in November), inflationary pressures remain broadly based, with other necessities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 xml:space="preserve">such as food and non-alcoholic beverages (16.4%), clothing and footwear (7.5%)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>and transport (7.2%) showing elevated levels</w:t>
      </w:r>
      <w:r>
        <w:rPr>
          <w:rFonts w:ascii="Arial" w:hAnsi="Arial" w:cs="Arial"/>
          <w:color w:val="333333"/>
        </w:rPr>
        <w:t xml:space="preserve"> </w:t>
      </w:r>
      <w:r w:rsidR="0044656D" w:rsidRPr="0044656D">
        <w:rPr>
          <w:rFonts w:ascii="Arial" w:hAnsi="Arial" w:cs="Arial"/>
          <w:color w:val="333333"/>
        </w:rPr>
        <w:t xml:space="preserve">of inflation. This is further illustrated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>by CPI inflation excluding energy increasing by an annual 7.4% in November 2022,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>higher than the 7.0% recorded in August.</w:t>
      </w:r>
    </w:p>
    <w:p w14:paraId="2BE1F60E" w14:textId="3D706FB5" w:rsidR="0044656D" w:rsidRPr="0044656D" w:rsidRDefault="005D1C3B" w:rsidP="0044656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  <w:r w:rsidR="0088530A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 xml:space="preserve">The Bank of England expects inflation to remain high in the short to medium term,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 xml:space="preserve">with their central projection that CPI inflation will remain in double digits in the first </w:t>
      </w:r>
      <w:r>
        <w:rPr>
          <w:rFonts w:ascii="Arial" w:hAnsi="Arial" w:cs="Arial"/>
          <w:color w:val="333333"/>
        </w:rPr>
        <w:lastRenderedPageBreak/>
        <w:tab/>
      </w:r>
      <w:r w:rsidR="0044656D" w:rsidRPr="0044656D">
        <w:rPr>
          <w:rFonts w:ascii="Arial" w:hAnsi="Arial" w:cs="Arial"/>
          <w:color w:val="333333"/>
        </w:rPr>
        <w:t xml:space="preserve">half of 2023, before easing somewhat to 8% in Q3 2023 and 6% in Q4 2023,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>although this would be well above the inflation target of 2%.</w:t>
      </w:r>
      <w:hyperlink r:id="rId10" w:history="1">
        <w:r w:rsidR="0044656D" w:rsidRPr="0044656D">
          <w:rPr>
            <w:rStyle w:val="Hyperlink"/>
            <w:rFonts w:ascii="Arial" w:hAnsi="Arial" w:cs="Arial"/>
            <w:color w:val="0065BD"/>
            <w:vertAlign w:val="superscript"/>
          </w:rPr>
          <w:t>[7]</w:t>
        </w:r>
      </w:hyperlink>
      <w:r w:rsidR="0044656D" w:rsidRPr="0044656D">
        <w:rPr>
          <w:rFonts w:ascii="Arial" w:hAnsi="Arial" w:cs="Arial"/>
          <w:color w:val="333333"/>
        </w:rPr>
        <w:t xml:space="preserve"> More recent forecasts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>from the Office for Budget Responsibility</w:t>
      </w:r>
      <w:hyperlink r:id="rId11" w:history="1">
        <w:r w:rsidR="0044656D" w:rsidRPr="0044656D">
          <w:rPr>
            <w:rStyle w:val="Hyperlink"/>
            <w:rFonts w:ascii="Arial" w:hAnsi="Arial" w:cs="Arial"/>
            <w:color w:val="0065BD"/>
            <w:vertAlign w:val="superscript"/>
          </w:rPr>
          <w:t>[8]</w:t>
        </w:r>
      </w:hyperlink>
      <w:r w:rsidR="0044656D" w:rsidRPr="0044656D">
        <w:rPr>
          <w:rFonts w:ascii="Arial" w:hAnsi="Arial" w:cs="Arial"/>
          <w:color w:val="333333"/>
        </w:rPr>
        <w:t> and Scottish Fiscal Commission</w:t>
      </w:r>
      <w:hyperlink r:id="rId12" w:history="1">
        <w:r w:rsidR="0044656D" w:rsidRPr="0044656D">
          <w:rPr>
            <w:rStyle w:val="Hyperlink"/>
            <w:rFonts w:ascii="Arial" w:hAnsi="Arial" w:cs="Arial"/>
            <w:color w:val="0065BD"/>
            <w:vertAlign w:val="superscript"/>
          </w:rPr>
          <w:t>[9]</w:t>
        </w:r>
      </w:hyperlink>
      <w:r w:rsidR="0044656D" w:rsidRPr="0044656D">
        <w:rPr>
          <w:rFonts w:ascii="Arial" w:hAnsi="Arial" w:cs="Arial"/>
          <w:color w:val="333333"/>
        </w:rPr>
        <w:t xml:space="preserve"> also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 xml:space="preserve">expect inflation to remain close to double digits until the second half of 2023. While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 xml:space="preserve">their forecast of 7% inflation in Q3 2023 and 4% inflation in Q4 2023 is somewhat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>lower than the Bank of England projection,</w:t>
      </w:r>
      <w:hyperlink r:id="rId13" w:history="1">
        <w:r w:rsidR="0044656D" w:rsidRPr="0044656D">
          <w:rPr>
            <w:rStyle w:val="Hyperlink"/>
            <w:rFonts w:ascii="Arial" w:hAnsi="Arial" w:cs="Arial"/>
            <w:color w:val="0065BD"/>
            <w:vertAlign w:val="superscript"/>
          </w:rPr>
          <w:t>[10]</w:t>
        </w:r>
      </w:hyperlink>
      <w:r w:rsidR="0044656D" w:rsidRPr="0044656D">
        <w:rPr>
          <w:rFonts w:ascii="Arial" w:hAnsi="Arial" w:cs="Arial"/>
          <w:color w:val="333333"/>
        </w:rPr>
        <w:t xml:space="preserve"> they similarly expect inflation to remain </w:t>
      </w:r>
      <w:r>
        <w:rPr>
          <w:rFonts w:ascii="Arial" w:hAnsi="Arial" w:cs="Arial"/>
          <w:color w:val="333333"/>
        </w:rPr>
        <w:tab/>
      </w:r>
      <w:r w:rsidR="0044656D" w:rsidRPr="0044656D">
        <w:rPr>
          <w:rFonts w:ascii="Arial" w:hAnsi="Arial" w:cs="Arial"/>
          <w:color w:val="333333"/>
        </w:rPr>
        <w:t>significantly higher than the 2% target until the end of 2023.</w:t>
      </w:r>
    </w:p>
    <w:p w14:paraId="16A9446A" w14:textId="172A3D41" w:rsidR="0044656D" w:rsidRPr="0044656D" w:rsidRDefault="005D1C3B" w:rsidP="0044656D">
      <w:pPr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2.</w:t>
      </w:r>
      <w:r w:rsidR="0088530A">
        <w:rPr>
          <w:color w:val="333333"/>
          <w:szCs w:val="24"/>
          <w:shd w:val="clear" w:color="auto" w:fill="FFFFFF"/>
        </w:rPr>
        <w:t>6</w:t>
      </w:r>
      <w:r>
        <w:rPr>
          <w:color w:val="333333"/>
          <w:szCs w:val="24"/>
          <w:shd w:val="clear" w:color="auto" w:fill="FFFFFF"/>
        </w:rPr>
        <w:tab/>
      </w:r>
      <w:r w:rsidR="0044656D" w:rsidRPr="0044656D">
        <w:rPr>
          <w:color w:val="333333"/>
          <w:szCs w:val="24"/>
          <w:shd w:val="clear" w:color="auto" w:fill="FFFFFF"/>
        </w:rPr>
        <w:t>In their 2022 Autumn Statement, the </w:t>
      </w:r>
      <w:r w:rsidR="0044656D" w:rsidRPr="0044656D">
        <w:rPr>
          <w:szCs w:val="24"/>
        </w:rPr>
        <w:t>UK</w:t>
      </w:r>
      <w:r w:rsidR="0044656D" w:rsidRPr="0044656D">
        <w:rPr>
          <w:color w:val="333333"/>
          <w:szCs w:val="24"/>
          <w:shd w:val="clear" w:color="auto" w:fill="FFFFFF"/>
        </w:rPr>
        <w:t xml:space="preserve"> Government confirmed reserved benefits </w:t>
      </w:r>
      <w:r>
        <w:rPr>
          <w:color w:val="333333"/>
          <w:szCs w:val="24"/>
          <w:shd w:val="clear" w:color="auto" w:fill="FFFFFF"/>
        </w:rPr>
        <w:tab/>
      </w:r>
      <w:r w:rsidR="0044656D" w:rsidRPr="0044656D">
        <w:rPr>
          <w:color w:val="333333"/>
          <w:szCs w:val="24"/>
          <w:shd w:val="clear" w:color="auto" w:fill="FFFFFF"/>
        </w:rPr>
        <w:t>will continue to be uprated by the previous September's </w:t>
      </w:r>
      <w:r w:rsidR="0044656D" w:rsidRPr="0044656D">
        <w:rPr>
          <w:szCs w:val="24"/>
        </w:rPr>
        <w:t>CPI</w:t>
      </w:r>
      <w:r w:rsidR="0044656D" w:rsidRPr="0044656D">
        <w:rPr>
          <w:color w:val="333333"/>
          <w:szCs w:val="24"/>
          <w:shd w:val="clear" w:color="auto" w:fill="FFFFFF"/>
        </w:rPr>
        <w:t xml:space="preserve"> inflation rate. Disability </w:t>
      </w:r>
      <w:r>
        <w:rPr>
          <w:color w:val="333333"/>
          <w:szCs w:val="24"/>
          <w:shd w:val="clear" w:color="auto" w:fill="FFFFFF"/>
        </w:rPr>
        <w:tab/>
      </w:r>
      <w:r w:rsidR="0044656D" w:rsidRPr="0044656D">
        <w:rPr>
          <w:color w:val="333333"/>
          <w:szCs w:val="24"/>
          <w:shd w:val="clear" w:color="auto" w:fill="FFFFFF"/>
        </w:rPr>
        <w:t xml:space="preserve">and low-income benefits will therefore be uprated by 10.1% in 2023-24, in line with </w:t>
      </w:r>
      <w:r>
        <w:rPr>
          <w:color w:val="333333"/>
          <w:szCs w:val="24"/>
          <w:shd w:val="clear" w:color="auto" w:fill="FFFFFF"/>
        </w:rPr>
        <w:tab/>
      </w:r>
      <w:r w:rsidR="0044656D" w:rsidRPr="0044656D">
        <w:rPr>
          <w:color w:val="333333"/>
          <w:szCs w:val="24"/>
          <w:shd w:val="clear" w:color="auto" w:fill="FFFFFF"/>
        </w:rPr>
        <w:t>September 2022 </w:t>
      </w:r>
      <w:r w:rsidR="0044656D" w:rsidRPr="0044656D">
        <w:rPr>
          <w:szCs w:val="24"/>
        </w:rPr>
        <w:t>CPI</w:t>
      </w:r>
      <w:r w:rsidR="0044656D" w:rsidRPr="0044656D">
        <w:rPr>
          <w:color w:val="333333"/>
          <w:szCs w:val="24"/>
          <w:shd w:val="clear" w:color="auto" w:fill="FFFFFF"/>
        </w:rPr>
        <w:t xml:space="preserve">. While this increase will compensate benefit clients for the </w:t>
      </w:r>
      <w:r>
        <w:rPr>
          <w:color w:val="333333"/>
          <w:szCs w:val="24"/>
          <w:shd w:val="clear" w:color="auto" w:fill="FFFFFF"/>
        </w:rPr>
        <w:tab/>
      </w:r>
      <w:r w:rsidR="0044656D" w:rsidRPr="0044656D">
        <w:rPr>
          <w:color w:val="333333"/>
          <w:szCs w:val="24"/>
          <w:shd w:val="clear" w:color="auto" w:fill="FFFFFF"/>
        </w:rPr>
        <w:t xml:space="preserve">exceptionally high rate of inflation in 2022-23, they will again likely face elevated </w:t>
      </w:r>
      <w:r>
        <w:rPr>
          <w:color w:val="333333"/>
          <w:szCs w:val="24"/>
          <w:shd w:val="clear" w:color="auto" w:fill="FFFFFF"/>
        </w:rPr>
        <w:tab/>
      </w:r>
      <w:r w:rsidR="0044656D" w:rsidRPr="0044656D">
        <w:rPr>
          <w:color w:val="333333"/>
          <w:szCs w:val="24"/>
          <w:shd w:val="clear" w:color="auto" w:fill="FFFFFF"/>
        </w:rPr>
        <w:t>inflation in 2023-24, with the </w:t>
      </w:r>
      <w:r w:rsidR="0044656D" w:rsidRPr="0044656D">
        <w:rPr>
          <w:szCs w:val="24"/>
        </w:rPr>
        <w:t>OBR</w:t>
      </w:r>
      <w:r w:rsidR="0044656D" w:rsidRPr="0044656D">
        <w:rPr>
          <w:color w:val="333333"/>
          <w:szCs w:val="24"/>
          <w:shd w:val="clear" w:color="auto" w:fill="FFFFFF"/>
        </w:rPr>
        <w:t xml:space="preserve"> forecasting inflation will average around 5.5%. </w:t>
      </w:r>
      <w:r>
        <w:rPr>
          <w:color w:val="333333"/>
          <w:szCs w:val="24"/>
          <w:shd w:val="clear" w:color="auto" w:fill="FFFFFF"/>
        </w:rPr>
        <w:tab/>
      </w:r>
      <w:r w:rsidR="0044656D" w:rsidRPr="0044656D">
        <w:rPr>
          <w:color w:val="333333"/>
          <w:szCs w:val="24"/>
          <w:shd w:val="clear" w:color="auto" w:fill="FFFFFF"/>
        </w:rPr>
        <w:t>Benefit clients will receive compensation for this in 2024-25.</w:t>
      </w:r>
      <w:r w:rsidR="0088530A">
        <w:rPr>
          <w:color w:val="333333"/>
          <w:szCs w:val="24"/>
          <w:shd w:val="clear" w:color="auto" w:fill="FFFFFF"/>
        </w:rPr>
        <w:t>”</w:t>
      </w:r>
    </w:p>
    <w:p w14:paraId="47EC278D" w14:textId="76B25B5D" w:rsidR="00B413EB" w:rsidRPr="0044656D" w:rsidRDefault="00B413EB" w:rsidP="00B413EB">
      <w:pPr>
        <w:rPr>
          <w:szCs w:val="24"/>
        </w:rPr>
      </w:pPr>
    </w:p>
    <w:p w14:paraId="5DD0C97E" w14:textId="0D4B5F0F" w:rsidR="0044656D" w:rsidRDefault="0088530A" w:rsidP="00B413EB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b/>
          <w:bCs/>
          <w:szCs w:val="24"/>
          <w:u w:val="single"/>
        </w:rPr>
        <w:t>RENT SETTING WITHIN THE SOCIAL RENTED SECTOR</w:t>
      </w:r>
    </w:p>
    <w:p w14:paraId="1AD15BA1" w14:textId="6CB4F6BE" w:rsidR="0088530A" w:rsidRDefault="0088530A" w:rsidP="00B413EB">
      <w:pPr>
        <w:rPr>
          <w:szCs w:val="24"/>
        </w:rPr>
      </w:pPr>
    </w:p>
    <w:p w14:paraId="3B3471BF" w14:textId="12CD8789" w:rsidR="0088530A" w:rsidRPr="0088530A" w:rsidRDefault="0088530A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tab/>
      </w:r>
      <w:r w:rsidRPr="0088530A">
        <w:rPr>
          <w:rFonts w:ascii="Arial" w:hAnsi="Arial" w:cs="Arial"/>
        </w:rPr>
        <w:t>The Scottish Minister further recognised “</w:t>
      </w:r>
      <w:r w:rsidRPr="0088530A">
        <w:rPr>
          <w:rFonts w:ascii="Arial" w:hAnsi="Arial" w:cs="Arial"/>
          <w:color w:val="333333"/>
        </w:rPr>
        <w:t xml:space="preserve">The rent setting practice in this sector </w:t>
      </w:r>
      <w:r>
        <w:rPr>
          <w:rFonts w:ascii="Arial" w:hAnsi="Arial" w:cs="Arial"/>
          <w:color w:val="333333"/>
        </w:rPr>
        <w:tab/>
      </w:r>
      <w:r w:rsidRPr="0088530A">
        <w:rPr>
          <w:rFonts w:ascii="Arial" w:hAnsi="Arial" w:cs="Arial"/>
          <w:color w:val="333333"/>
        </w:rPr>
        <w:t xml:space="preserve">involves rents being set annually, in consultation with tenants. Aside from the annual </w:t>
      </w:r>
      <w:r>
        <w:rPr>
          <w:rFonts w:ascii="Arial" w:hAnsi="Arial" w:cs="Arial"/>
          <w:color w:val="333333"/>
        </w:rPr>
        <w:tab/>
      </w:r>
      <w:r w:rsidRPr="0088530A">
        <w:rPr>
          <w:rFonts w:ascii="Arial" w:hAnsi="Arial" w:cs="Arial"/>
          <w:color w:val="333333"/>
        </w:rPr>
        <w:t xml:space="preserve">rent setting process further rent increases do not typically take place either inter or </w:t>
      </w:r>
      <w:r>
        <w:rPr>
          <w:rFonts w:ascii="Arial" w:hAnsi="Arial" w:cs="Arial"/>
          <w:color w:val="333333"/>
        </w:rPr>
        <w:tab/>
      </w:r>
      <w:r w:rsidRPr="0088530A">
        <w:rPr>
          <w:rFonts w:ascii="Arial" w:hAnsi="Arial" w:cs="Arial"/>
          <w:color w:val="333333"/>
        </w:rPr>
        <w:t>intra tenancy.</w:t>
      </w:r>
      <w:r>
        <w:rPr>
          <w:rFonts w:ascii="Arial" w:hAnsi="Arial" w:cs="Arial"/>
          <w:color w:val="333333"/>
        </w:rPr>
        <w:t>”</w:t>
      </w:r>
    </w:p>
    <w:p w14:paraId="65FC803B" w14:textId="5134BDA5" w:rsidR="0088530A" w:rsidRPr="0088530A" w:rsidRDefault="0088530A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</w:t>
      </w:r>
      <w:r>
        <w:rPr>
          <w:rFonts w:ascii="Arial" w:hAnsi="Arial" w:cs="Arial"/>
          <w:color w:val="333333"/>
        </w:rPr>
        <w:tab/>
        <w:t>“</w:t>
      </w:r>
      <w:r w:rsidRPr="0088530A">
        <w:rPr>
          <w:rFonts w:ascii="Arial" w:hAnsi="Arial" w:cs="Arial"/>
          <w:color w:val="333333"/>
        </w:rPr>
        <w:t xml:space="preserve">It is within this context that the Social Sector Short Life Task and Finish Group has </w:t>
      </w:r>
      <w:r>
        <w:rPr>
          <w:rFonts w:ascii="Arial" w:hAnsi="Arial" w:cs="Arial"/>
          <w:color w:val="333333"/>
        </w:rPr>
        <w:tab/>
      </w:r>
      <w:r w:rsidRPr="0088530A">
        <w:rPr>
          <w:rFonts w:ascii="Arial" w:hAnsi="Arial" w:cs="Arial"/>
          <w:color w:val="333333"/>
        </w:rPr>
        <w:t xml:space="preserve">been working to develop an agreed approach on rent setting for 2023-24 – taken </w:t>
      </w:r>
      <w:r>
        <w:rPr>
          <w:rFonts w:ascii="Arial" w:hAnsi="Arial" w:cs="Arial"/>
          <w:color w:val="333333"/>
        </w:rPr>
        <w:tab/>
      </w:r>
      <w:r w:rsidRPr="0088530A">
        <w:rPr>
          <w:rFonts w:ascii="Arial" w:hAnsi="Arial" w:cs="Arial"/>
          <w:color w:val="333333"/>
        </w:rPr>
        <w:t xml:space="preserve">forward on a voluntary basis - that would see an agreement with social housing </w:t>
      </w:r>
      <w:r>
        <w:rPr>
          <w:rFonts w:ascii="Arial" w:hAnsi="Arial" w:cs="Arial"/>
          <w:color w:val="333333"/>
        </w:rPr>
        <w:tab/>
      </w:r>
      <w:r w:rsidRPr="0088530A">
        <w:rPr>
          <w:rFonts w:ascii="Arial" w:hAnsi="Arial" w:cs="Arial"/>
          <w:color w:val="333333"/>
        </w:rPr>
        <w:t xml:space="preserve">landlords that ensures that rents remain affordable but still support continued </w:t>
      </w:r>
      <w:r>
        <w:rPr>
          <w:rFonts w:ascii="Arial" w:hAnsi="Arial" w:cs="Arial"/>
          <w:color w:val="333333"/>
        </w:rPr>
        <w:tab/>
      </w:r>
      <w:r w:rsidRPr="0088530A">
        <w:rPr>
          <w:rFonts w:ascii="Arial" w:hAnsi="Arial" w:cs="Arial"/>
          <w:color w:val="333333"/>
        </w:rPr>
        <w:t xml:space="preserve">investment in the sector. The Group stressed the fine balance between affordability </w:t>
      </w:r>
      <w:r>
        <w:rPr>
          <w:rFonts w:ascii="Arial" w:hAnsi="Arial" w:cs="Arial"/>
          <w:color w:val="333333"/>
        </w:rPr>
        <w:tab/>
      </w:r>
      <w:r w:rsidRPr="0088530A">
        <w:rPr>
          <w:rFonts w:ascii="Arial" w:hAnsi="Arial" w:cs="Arial"/>
          <w:color w:val="333333"/>
        </w:rPr>
        <w:t xml:space="preserve">and investment and the need </w:t>
      </w:r>
      <w:r w:rsidRPr="0088530A">
        <w:rPr>
          <w:rFonts w:ascii="Arial" w:hAnsi="Arial" w:cs="Arial"/>
          <w:i/>
          <w:iCs/>
          <w:color w:val="333333"/>
          <w:u w:val="single"/>
        </w:rPr>
        <w:t>to set</w:t>
      </w:r>
      <w:r w:rsidRPr="0088530A">
        <w:rPr>
          <w:rFonts w:ascii="Arial" w:hAnsi="Arial" w:cs="Arial"/>
          <w:color w:val="333333"/>
        </w:rPr>
        <w:t xml:space="preserve"> </w:t>
      </w:r>
      <w:r w:rsidRPr="0088530A">
        <w:rPr>
          <w:rFonts w:ascii="Arial" w:hAnsi="Arial" w:cs="Arial"/>
          <w:i/>
          <w:iCs/>
          <w:color w:val="333333"/>
          <w:u w:val="single"/>
        </w:rPr>
        <w:t>social sector rents at a level that ensures</w:t>
      </w:r>
      <w:r>
        <w:rPr>
          <w:rFonts w:ascii="Arial" w:hAnsi="Arial" w:cs="Arial"/>
          <w:i/>
          <w:iCs/>
          <w:color w:val="333333"/>
          <w:u w:val="single"/>
        </w:rPr>
        <w:t xml:space="preserve"> </w:t>
      </w:r>
      <w:r>
        <w:rPr>
          <w:rFonts w:ascii="Arial" w:hAnsi="Arial" w:cs="Arial"/>
          <w:i/>
          <w:iCs/>
          <w:color w:val="333333"/>
        </w:rPr>
        <w:tab/>
      </w:r>
      <w:r w:rsidRPr="0088530A">
        <w:rPr>
          <w:rFonts w:ascii="Arial" w:hAnsi="Arial" w:cs="Arial"/>
          <w:i/>
          <w:iCs/>
          <w:color w:val="333333"/>
          <w:u w:val="single"/>
        </w:rPr>
        <w:t xml:space="preserve">adequate resources to support repairs and maintenance, new build programmes and </w:t>
      </w:r>
      <w:r>
        <w:rPr>
          <w:rFonts w:ascii="Arial" w:hAnsi="Arial" w:cs="Arial"/>
          <w:i/>
          <w:iCs/>
          <w:color w:val="333333"/>
        </w:rPr>
        <w:tab/>
      </w:r>
      <w:r w:rsidRPr="0088530A">
        <w:rPr>
          <w:rFonts w:ascii="Arial" w:hAnsi="Arial" w:cs="Arial"/>
          <w:i/>
          <w:iCs/>
          <w:color w:val="333333"/>
          <w:u w:val="single"/>
        </w:rPr>
        <w:t xml:space="preserve">energy efficiency and carbon neutral targets and to ensure they can continue to </w:t>
      </w:r>
      <w:r>
        <w:rPr>
          <w:rFonts w:ascii="Arial" w:hAnsi="Arial" w:cs="Arial"/>
          <w:i/>
          <w:iCs/>
          <w:color w:val="333333"/>
        </w:rPr>
        <w:tab/>
      </w:r>
      <w:r w:rsidRPr="0088530A">
        <w:rPr>
          <w:rFonts w:ascii="Arial" w:hAnsi="Arial" w:cs="Arial"/>
          <w:i/>
          <w:iCs/>
          <w:color w:val="333333"/>
          <w:u w:val="single"/>
        </w:rPr>
        <w:t>deliver the essential support services they provide for their tenants</w:t>
      </w:r>
      <w:r w:rsidRPr="0088530A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”</w:t>
      </w:r>
    </w:p>
    <w:p w14:paraId="22D03B17" w14:textId="6C8FA421" w:rsidR="0088530A" w:rsidRPr="0088530A" w:rsidRDefault="005752E8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3.2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The outcome of discussions led by COSLA, in respect of local authorities, and the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Scottish Federation of Housing Associations (SFHA) and Glasgow and West of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Scotland Forum of Housing Associations for Registered Social Landlords, has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reached an agreed position with their members that would see increases of 6.4%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>and 6.1% respectively, as an average across Scotland.</w:t>
      </w:r>
    </w:p>
    <w:p w14:paraId="2977AB29" w14:textId="42FB2D65" w:rsidR="0088530A" w:rsidRPr="0088530A" w:rsidRDefault="005752E8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3.3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It is important to note that the agreement of </w:t>
      </w:r>
      <w:r w:rsidR="0088530A" w:rsidRPr="005752E8">
        <w:rPr>
          <w:rFonts w:ascii="Arial" w:hAnsi="Arial" w:cs="Arial"/>
          <w:i/>
          <w:iCs/>
          <w:color w:val="333333"/>
          <w:u w:val="single"/>
        </w:rPr>
        <w:t>an average figure</w:t>
      </w:r>
      <w:r w:rsidR="0088530A" w:rsidRPr="0088530A">
        <w:rPr>
          <w:rFonts w:ascii="Arial" w:hAnsi="Arial" w:cs="Arial"/>
          <w:color w:val="333333"/>
        </w:rPr>
        <w:t xml:space="preserve">, rather than a fixed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cap, is essential to allow flexibility. The majority of rents will be increased at a level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below the agreed 6.4% (for local authority landlords) and 6.1% (for registered social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landlords) but there may be some social sector landlords who will, for specific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reasons, go beyond these levels. However, all social sector rent increases will be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kept below the level of inflation. This approach recognises that in some cases tenant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feedback to the statutory rent consultations may be in favour of an increase higher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than the overall averages agreed, for example to allow planned improvements or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>maintenance to proceed.</w:t>
      </w:r>
    </w:p>
    <w:p w14:paraId="6EEE1A82" w14:textId="38824D95" w:rsidR="0088530A" w:rsidRPr="0088530A" w:rsidRDefault="005752E8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3.4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In reflection of the outcome of the work of the Social Sector Short Life Task and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Finish Group, whereby an approach on rent setting for 2023-24 be taken forward on </w:t>
      </w:r>
      <w:r>
        <w:rPr>
          <w:rFonts w:ascii="Arial" w:hAnsi="Arial" w:cs="Arial"/>
          <w:color w:val="333333"/>
        </w:rPr>
        <w:lastRenderedPageBreak/>
        <w:tab/>
      </w:r>
      <w:r w:rsidR="0088530A" w:rsidRPr="0088530A">
        <w:rPr>
          <w:rFonts w:ascii="Arial" w:hAnsi="Arial" w:cs="Arial"/>
          <w:color w:val="333333"/>
        </w:rPr>
        <w:t xml:space="preserve">a voluntary basis has been agreed and the continued need for investment to support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delivery of the Scottish Government's ambitious affordable housing targets, Scottish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Ministers intend to make regulations under section 8(1) of the Act to provide for the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expiry of the rent cap provisions for the social sector contained in Paragraph 3 of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>Schedule 1 of the Act.</w:t>
      </w:r>
    </w:p>
    <w:p w14:paraId="3F7BEC88" w14:textId="3F67D54B" w:rsidR="0088530A" w:rsidRPr="0088530A" w:rsidRDefault="005752E8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3.5</w:t>
      </w:r>
      <w:r>
        <w:rPr>
          <w:rFonts w:ascii="Arial" w:hAnsi="Arial" w:cs="Arial"/>
          <w:color w:val="333333"/>
        </w:rPr>
        <w:tab/>
      </w:r>
      <w:r w:rsidR="0088530A" w:rsidRPr="005752E8">
        <w:rPr>
          <w:rFonts w:ascii="Arial" w:hAnsi="Arial" w:cs="Arial"/>
          <w:i/>
          <w:iCs/>
          <w:color w:val="333333"/>
          <w:u w:val="single"/>
        </w:rPr>
        <w:t xml:space="preserve">This will ensure that social sector rent levels are adequate to support repairs, </w:t>
      </w:r>
      <w:r>
        <w:rPr>
          <w:rFonts w:ascii="Arial" w:hAnsi="Arial" w:cs="Arial"/>
          <w:i/>
          <w:iCs/>
          <w:color w:val="333333"/>
        </w:rPr>
        <w:tab/>
      </w:r>
      <w:r w:rsidR="0088530A" w:rsidRPr="005752E8">
        <w:rPr>
          <w:rFonts w:ascii="Arial" w:hAnsi="Arial" w:cs="Arial"/>
          <w:i/>
          <w:iCs/>
          <w:color w:val="333333"/>
          <w:u w:val="single"/>
        </w:rPr>
        <w:t xml:space="preserve">maintenance, meeting energy efficiency and carbon neutral targets and to ensure </w:t>
      </w:r>
      <w:r>
        <w:rPr>
          <w:rFonts w:ascii="Arial" w:hAnsi="Arial" w:cs="Arial"/>
          <w:i/>
          <w:iCs/>
          <w:color w:val="333333"/>
        </w:rPr>
        <w:tab/>
      </w:r>
      <w:r w:rsidR="0088530A" w:rsidRPr="005752E8">
        <w:rPr>
          <w:rFonts w:ascii="Arial" w:hAnsi="Arial" w:cs="Arial"/>
          <w:i/>
          <w:iCs/>
          <w:color w:val="333333"/>
          <w:u w:val="single"/>
        </w:rPr>
        <w:t xml:space="preserve">social landlords can continue to deliver the essential support services they provide </w:t>
      </w:r>
      <w:r>
        <w:rPr>
          <w:rFonts w:ascii="Arial" w:hAnsi="Arial" w:cs="Arial"/>
          <w:i/>
          <w:iCs/>
          <w:color w:val="333333"/>
        </w:rPr>
        <w:tab/>
      </w:r>
      <w:r w:rsidR="0088530A" w:rsidRPr="005752E8">
        <w:rPr>
          <w:rFonts w:ascii="Arial" w:hAnsi="Arial" w:cs="Arial"/>
          <w:i/>
          <w:iCs/>
          <w:color w:val="333333"/>
          <w:u w:val="single"/>
        </w:rPr>
        <w:t>for their tenants.</w:t>
      </w:r>
    </w:p>
    <w:p w14:paraId="102DE843" w14:textId="0FC71EBD" w:rsidR="0088530A" w:rsidRDefault="005752E8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3.6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Scottish Ministers will bring forward regulations that will expire the rent cap measures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for the social sector from 01 March 2023. This will allow social landlords to ensure </w:t>
      </w:r>
      <w:r>
        <w:rPr>
          <w:rFonts w:ascii="Arial" w:hAnsi="Arial" w:cs="Arial"/>
          <w:color w:val="333333"/>
        </w:rPr>
        <w:tab/>
      </w:r>
      <w:r w:rsidR="0088530A" w:rsidRPr="0088530A">
        <w:rPr>
          <w:rFonts w:ascii="Arial" w:hAnsi="Arial" w:cs="Arial"/>
          <w:color w:val="333333"/>
        </w:rPr>
        <w:t xml:space="preserve">they meet requirements in relation to notifying tenants of rent increases from 01 April </w:t>
      </w:r>
      <w:r>
        <w:rPr>
          <w:rFonts w:ascii="Arial" w:hAnsi="Arial" w:cs="Arial"/>
          <w:color w:val="333333"/>
        </w:rPr>
        <w:tab/>
      </w:r>
      <w:proofErr w:type="gramStart"/>
      <w:r w:rsidR="0088530A" w:rsidRPr="0088530A">
        <w:rPr>
          <w:rFonts w:ascii="Arial" w:hAnsi="Arial" w:cs="Arial"/>
          <w:color w:val="333333"/>
        </w:rPr>
        <w:t>2023</w:t>
      </w:r>
      <w:r>
        <w:rPr>
          <w:rFonts w:ascii="Arial" w:hAnsi="Arial" w:cs="Arial"/>
          <w:color w:val="333333"/>
        </w:rPr>
        <w:t>”</w:t>
      </w:r>
      <w:proofErr w:type="gramEnd"/>
    </w:p>
    <w:p w14:paraId="64F2E59D" w14:textId="3FBD3408" w:rsidR="005752E8" w:rsidRDefault="005752E8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color w:val="333333"/>
        </w:rPr>
        <w:t>4.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b/>
          <w:bCs/>
          <w:color w:val="333333"/>
          <w:u w:val="single"/>
        </w:rPr>
        <w:t>BUSINESS CASE FOR A RENT INCREASE FROM 1 APRIL 2023</w:t>
      </w:r>
    </w:p>
    <w:p w14:paraId="64D5D798" w14:textId="410CDF01" w:rsidR="005752E8" w:rsidRDefault="005752E8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  <w:t xml:space="preserve">The Association has maintained rent increases generally at the rate of inflation for a </w:t>
      </w:r>
      <w:r w:rsidR="00A11126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>number of years in recognition that we wish our rents to remain truly affordable</w:t>
      </w:r>
      <w:r w:rsidR="00A11126">
        <w:rPr>
          <w:rFonts w:ascii="Arial" w:hAnsi="Arial" w:cs="Arial"/>
          <w:color w:val="333333"/>
        </w:rPr>
        <w:t xml:space="preserve"> for all </w:t>
      </w:r>
      <w:r w:rsidR="00A11126">
        <w:rPr>
          <w:rFonts w:ascii="Arial" w:hAnsi="Arial" w:cs="Arial"/>
          <w:color w:val="333333"/>
        </w:rPr>
        <w:tab/>
        <w:t>of our tenants.</w:t>
      </w:r>
    </w:p>
    <w:p w14:paraId="25D40826" w14:textId="36F713A8" w:rsidR="00A11126" w:rsidRDefault="00A11126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4.1</w:t>
      </w:r>
      <w:r>
        <w:rPr>
          <w:rFonts w:ascii="Arial" w:hAnsi="Arial" w:cs="Arial"/>
          <w:color w:val="333333"/>
        </w:rPr>
        <w:tab/>
        <w:t xml:space="preserve">However, we fully recognise that to suggest a rent increase for 2023/24 at the </w:t>
      </w:r>
      <w:r w:rsidR="00954C40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 xml:space="preserve">current rate of inflation </w:t>
      </w:r>
      <w:r w:rsidR="008C3FC0">
        <w:rPr>
          <w:rFonts w:ascii="Arial" w:hAnsi="Arial" w:cs="Arial"/>
          <w:b/>
          <w:bCs/>
        </w:rPr>
        <w:t>10.5%</w:t>
      </w:r>
      <w:r w:rsidRPr="008C3FC0">
        <w:rPr>
          <w:rFonts w:ascii="Arial" w:hAnsi="Arial" w:cs="Arial"/>
        </w:rPr>
        <w:t xml:space="preserve"> at December 2022</w:t>
      </w:r>
      <w:r w:rsidRPr="008C3FC0">
        <w:rPr>
          <w:rFonts w:ascii="Arial" w:hAnsi="Arial" w:cs="Arial"/>
          <w:vertAlign w:val="superscript"/>
        </w:rPr>
        <w:t>2</w:t>
      </w:r>
      <w:r w:rsidRPr="008C3FC0">
        <w:rPr>
          <w:rFonts w:ascii="Arial" w:hAnsi="Arial" w:cs="Arial"/>
        </w:rPr>
        <w:t xml:space="preserve"> </w:t>
      </w:r>
      <w:r w:rsidRPr="00A11126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be incredibly challenging for </w:t>
      </w:r>
      <w:r w:rsidR="00954C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some of our tenants and following discussions between the Scottish Ministers, </w:t>
      </w:r>
      <w:r w:rsidR="00954C40">
        <w:rPr>
          <w:rFonts w:ascii="Arial" w:hAnsi="Arial" w:cs="Arial"/>
        </w:rPr>
        <w:tab/>
      </w:r>
      <w:r>
        <w:rPr>
          <w:rFonts w:ascii="Arial" w:hAnsi="Arial" w:cs="Arial"/>
        </w:rPr>
        <w:t>Confederation of Scottish Local Authorities</w:t>
      </w:r>
      <w:r w:rsidR="00954C4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COSLA</w:t>
      </w:r>
      <w:r w:rsidR="00954C4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954C40">
        <w:rPr>
          <w:rFonts w:ascii="Arial" w:hAnsi="Arial" w:cs="Arial"/>
        </w:rPr>
        <w:t xml:space="preserve">Scottish Federation of Housing </w:t>
      </w:r>
      <w:r w:rsidR="00954C40">
        <w:rPr>
          <w:rFonts w:ascii="Arial" w:hAnsi="Arial" w:cs="Arial"/>
        </w:rPr>
        <w:tab/>
        <w:t>Associations (</w:t>
      </w:r>
      <w:r>
        <w:rPr>
          <w:rFonts w:ascii="Arial" w:hAnsi="Arial" w:cs="Arial"/>
        </w:rPr>
        <w:t>SFHA</w:t>
      </w:r>
      <w:r w:rsidR="00954C4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</w:t>
      </w:r>
      <w:r w:rsidR="00954C40">
        <w:rPr>
          <w:rFonts w:ascii="Arial" w:hAnsi="Arial" w:cs="Arial"/>
        </w:rPr>
        <w:t>Glasgow &amp; West Of Scotland Forum (</w:t>
      </w:r>
      <w:r>
        <w:rPr>
          <w:rFonts w:ascii="Arial" w:hAnsi="Arial" w:cs="Arial"/>
        </w:rPr>
        <w:t>GWSF</w:t>
      </w:r>
      <w:r w:rsidR="00954C40">
        <w:rPr>
          <w:rFonts w:ascii="Arial" w:hAnsi="Arial" w:cs="Arial"/>
        </w:rPr>
        <w:t xml:space="preserve">) at </w:t>
      </w:r>
      <w:r w:rsidR="00954C40">
        <w:rPr>
          <w:rFonts w:ascii="Arial" w:hAnsi="Arial" w:cs="Arial"/>
          <w:i/>
          <w:iCs/>
        </w:rPr>
        <w:t>3.2 above,</w:t>
      </w:r>
      <w:r w:rsidR="00954C40">
        <w:rPr>
          <w:rFonts w:ascii="Arial" w:hAnsi="Arial" w:cs="Arial"/>
        </w:rPr>
        <w:t xml:space="preserve"> </w:t>
      </w:r>
      <w:r w:rsidR="00954C40">
        <w:rPr>
          <w:rFonts w:ascii="Arial" w:hAnsi="Arial" w:cs="Arial"/>
        </w:rPr>
        <w:tab/>
        <w:t xml:space="preserve">there has been an agreement reached whereby Registered Social Landlords (RSL’s) </w:t>
      </w:r>
      <w:r w:rsidR="00954C40">
        <w:rPr>
          <w:rFonts w:ascii="Arial" w:hAnsi="Arial" w:cs="Arial"/>
        </w:rPr>
        <w:tab/>
        <w:t xml:space="preserve">will agree to an average increase of 6.1% in order to maintain maintenance levels </w:t>
      </w:r>
      <w:r w:rsidR="006A499C">
        <w:rPr>
          <w:rFonts w:ascii="Arial" w:hAnsi="Arial" w:cs="Arial"/>
        </w:rPr>
        <w:tab/>
      </w:r>
      <w:r w:rsidR="00954C40">
        <w:rPr>
          <w:rFonts w:ascii="Arial" w:hAnsi="Arial" w:cs="Arial"/>
        </w:rPr>
        <w:t>and planned improvements e.g. new kitchens, new windows etc.</w:t>
      </w:r>
    </w:p>
    <w:p w14:paraId="7ABE5C3B" w14:textId="40CCE3D0" w:rsidR="00312186" w:rsidRDefault="00312186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 xml:space="preserve">The average CPI inflation rate from January – December 2022 was </w:t>
      </w:r>
      <w:r w:rsidR="008C3FC0">
        <w:rPr>
          <w:rFonts w:ascii="Arial" w:hAnsi="Arial" w:cs="Arial"/>
          <w:b/>
          <w:bCs/>
        </w:rPr>
        <w:t>9.05</w:t>
      </w:r>
      <w:r>
        <w:rPr>
          <w:rFonts w:ascii="Arial" w:hAnsi="Arial" w:cs="Arial"/>
          <w:b/>
          <w:bCs/>
        </w:rPr>
        <w:t>%</w:t>
      </w:r>
      <w:proofErr w:type="gramStart"/>
      <w:r>
        <w:rPr>
          <w:rFonts w:ascii="Arial" w:hAnsi="Arial" w:cs="Arial"/>
          <w:b/>
          <w:bCs/>
          <w:vertAlign w:val="superscript"/>
        </w:rPr>
        <w:t>3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3A47B482" w14:textId="48CC7E1B" w:rsidR="008C3FC0" w:rsidRDefault="008C3FC0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80EA0C8" wp14:editId="6D983C59">
            <wp:extent cx="6315075" cy="274320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079C046-76C0-68B7-F320-50840D3666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E3C9AEE" w14:textId="2420F6E9" w:rsidR="001D0ECB" w:rsidRDefault="001D0ECB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</w:p>
    <w:p w14:paraId="00A7BE0E" w14:textId="40656559" w:rsidR="00954C40" w:rsidRDefault="00954C40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6A499C"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In considering the case for below inflation rent rises, it has to be borne in mind that </w:t>
      </w:r>
      <w:r w:rsidR="003D17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for every 1% below the current rate, the cumulative effect on the Association’s cash </w:t>
      </w:r>
      <w:r w:rsidR="003D17E9">
        <w:rPr>
          <w:rFonts w:ascii="Arial" w:hAnsi="Arial" w:cs="Arial"/>
        </w:rPr>
        <w:tab/>
      </w:r>
      <w:r>
        <w:rPr>
          <w:rFonts w:ascii="Arial" w:hAnsi="Arial" w:cs="Arial"/>
        </w:rPr>
        <w:t>flows would be</w:t>
      </w:r>
      <w:r w:rsidR="003D17E9">
        <w:rPr>
          <w:rFonts w:ascii="Arial" w:hAnsi="Arial" w:cs="Arial"/>
        </w:rPr>
        <w:t xml:space="preserve"> approx.</w:t>
      </w:r>
      <w:r>
        <w:rPr>
          <w:rFonts w:ascii="Arial" w:hAnsi="Arial" w:cs="Arial"/>
        </w:rPr>
        <w:t xml:space="preserve"> </w:t>
      </w:r>
      <w:r w:rsidR="003D17E9">
        <w:rPr>
          <w:rFonts w:ascii="Arial" w:hAnsi="Arial" w:cs="Arial"/>
          <w:b/>
          <w:bCs/>
        </w:rPr>
        <w:t>£1.8m</w:t>
      </w:r>
      <w:r w:rsidR="003D17E9">
        <w:rPr>
          <w:rFonts w:ascii="Arial" w:hAnsi="Arial" w:cs="Arial"/>
        </w:rPr>
        <w:t xml:space="preserve"> over a 30-year lifecycle, that would be roughly the </w:t>
      </w:r>
      <w:r w:rsidR="003D17E9">
        <w:rPr>
          <w:rFonts w:ascii="Arial" w:hAnsi="Arial" w:cs="Arial"/>
        </w:rPr>
        <w:tab/>
        <w:t xml:space="preserve">equivalent to 3 x window replacement contracts at 2022/23 prices not being carried </w:t>
      </w:r>
      <w:r w:rsidR="003D17E9">
        <w:rPr>
          <w:rFonts w:ascii="Arial" w:hAnsi="Arial" w:cs="Arial"/>
        </w:rPr>
        <w:tab/>
        <w:t>out.</w:t>
      </w:r>
    </w:p>
    <w:p w14:paraId="22496A9E" w14:textId="498DC326" w:rsidR="003D17E9" w:rsidRDefault="003D17E9" w:rsidP="0088530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A499C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616EEC">
        <w:rPr>
          <w:rFonts w:ascii="Arial" w:hAnsi="Arial" w:cs="Arial"/>
        </w:rPr>
        <w:t xml:space="preserve">The average cost of reactive maintenance has increased from 2021/22 – 2022/23 by </w:t>
      </w:r>
      <w:r w:rsidR="00616EEC">
        <w:rPr>
          <w:rFonts w:ascii="Arial" w:hAnsi="Arial" w:cs="Arial"/>
        </w:rPr>
        <w:tab/>
      </w:r>
      <w:r w:rsidR="00616EEC">
        <w:rPr>
          <w:rFonts w:ascii="Arial" w:hAnsi="Arial" w:cs="Arial"/>
          <w:b/>
          <w:bCs/>
        </w:rPr>
        <w:t>7%</w:t>
      </w:r>
      <w:r w:rsidR="00616EEC">
        <w:rPr>
          <w:rFonts w:ascii="Arial" w:hAnsi="Arial" w:cs="Arial"/>
        </w:rPr>
        <w:t xml:space="preserve"> and the planned major repairs/component replacements (kitchens &amp; window </w:t>
      </w:r>
      <w:r w:rsidR="00616EEC">
        <w:rPr>
          <w:rFonts w:ascii="Arial" w:hAnsi="Arial" w:cs="Arial"/>
        </w:rPr>
        <w:tab/>
        <w:t xml:space="preserve">replacements) increased </w:t>
      </w:r>
      <w:r w:rsidR="00616EEC">
        <w:rPr>
          <w:rFonts w:ascii="Arial" w:hAnsi="Arial" w:cs="Arial"/>
          <w:b/>
          <w:bCs/>
        </w:rPr>
        <w:t>48%</w:t>
      </w:r>
      <w:r w:rsidR="00616EEC">
        <w:rPr>
          <w:rFonts w:ascii="Arial" w:hAnsi="Arial" w:cs="Arial"/>
        </w:rPr>
        <w:t xml:space="preserve"> over the budgeted assumption</w:t>
      </w:r>
      <w:r w:rsidR="00716374">
        <w:rPr>
          <w:rFonts w:ascii="Arial" w:hAnsi="Arial" w:cs="Arial"/>
        </w:rPr>
        <w:t>s</w:t>
      </w:r>
      <w:r w:rsidR="00616EEC">
        <w:rPr>
          <w:rFonts w:ascii="Arial" w:hAnsi="Arial" w:cs="Arial"/>
        </w:rPr>
        <w:t>.</w:t>
      </w:r>
      <w:r w:rsidR="00E906CA">
        <w:rPr>
          <w:rFonts w:ascii="Arial" w:hAnsi="Arial" w:cs="Arial"/>
        </w:rPr>
        <w:t xml:space="preserve"> </w:t>
      </w:r>
    </w:p>
    <w:p w14:paraId="756ACD42" w14:textId="26FF95F7" w:rsidR="0088530A" w:rsidRDefault="00E906CA" w:rsidP="00E906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A499C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6A499C">
        <w:rPr>
          <w:rFonts w:ascii="Arial" w:hAnsi="Arial" w:cs="Arial"/>
        </w:rPr>
        <w:t xml:space="preserve">In respect of Management costs, </w:t>
      </w:r>
      <w:r w:rsidR="00716374">
        <w:rPr>
          <w:rFonts w:ascii="Arial" w:hAnsi="Arial" w:cs="Arial"/>
        </w:rPr>
        <w:t xml:space="preserve">there has been </w:t>
      </w:r>
      <w:r w:rsidR="006A499C">
        <w:rPr>
          <w:rFonts w:ascii="Arial" w:hAnsi="Arial" w:cs="Arial"/>
        </w:rPr>
        <w:t>an agreed</w:t>
      </w:r>
      <w:r w:rsidR="00716374">
        <w:rPr>
          <w:rFonts w:ascii="Arial" w:hAnsi="Arial" w:cs="Arial"/>
        </w:rPr>
        <w:t xml:space="preserve"> wage settlement of </w:t>
      </w:r>
      <w:r w:rsidR="00391312">
        <w:rPr>
          <w:rFonts w:ascii="Arial" w:hAnsi="Arial" w:cs="Arial"/>
        </w:rPr>
        <w:tab/>
      </w:r>
      <w:r w:rsidR="00716374">
        <w:rPr>
          <w:rFonts w:ascii="Arial" w:hAnsi="Arial" w:cs="Arial"/>
          <w:b/>
          <w:bCs/>
        </w:rPr>
        <w:t>5.</w:t>
      </w:r>
      <w:r w:rsidR="00391312">
        <w:rPr>
          <w:rFonts w:ascii="Arial" w:hAnsi="Arial" w:cs="Arial"/>
          <w:b/>
          <w:bCs/>
        </w:rPr>
        <w:t>2</w:t>
      </w:r>
      <w:r w:rsidR="00716374">
        <w:rPr>
          <w:rFonts w:ascii="Arial" w:hAnsi="Arial" w:cs="Arial"/>
          <w:b/>
          <w:bCs/>
        </w:rPr>
        <w:t>5%</w:t>
      </w:r>
      <w:r w:rsidR="00716374">
        <w:rPr>
          <w:rFonts w:ascii="Arial" w:hAnsi="Arial" w:cs="Arial"/>
        </w:rPr>
        <w:t xml:space="preserve"> from 1st April 2023</w:t>
      </w:r>
      <w:r w:rsidR="006A499C">
        <w:rPr>
          <w:rFonts w:ascii="Arial" w:hAnsi="Arial" w:cs="Arial"/>
        </w:rPr>
        <w:t xml:space="preserve"> </w:t>
      </w:r>
      <w:r w:rsidR="00716374">
        <w:rPr>
          <w:rFonts w:ascii="Arial" w:hAnsi="Arial" w:cs="Arial"/>
        </w:rPr>
        <w:t>however w</w:t>
      </w:r>
      <w:r>
        <w:rPr>
          <w:rFonts w:ascii="Arial" w:hAnsi="Arial" w:cs="Arial"/>
        </w:rPr>
        <w:t xml:space="preserve">e have made some efficiency savings by </w:t>
      </w:r>
      <w:r w:rsidR="00391312">
        <w:rPr>
          <w:rFonts w:ascii="Arial" w:hAnsi="Arial" w:cs="Arial"/>
        </w:rPr>
        <w:tab/>
      </w:r>
      <w:r>
        <w:rPr>
          <w:rFonts w:ascii="Arial" w:hAnsi="Arial" w:cs="Arial"/>
        </w:rPr>
        <w:t>reducing</w:t>
      </w:r>
      <w:r w:rsidR="00391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staff salary costs in the forthcoming budget for 2023/24 by approx. </w:t>
      </w:r>
      <w:r w:rsidRPr="00E906CA">
        <w:rPr>
          <w:rFonts w:ascii="Arial" w:hAnsi="Arial" w:cs="Arial"/>
          <w:b/>
          <w:bCs/>
        </w:rPr>
        <w:t>£50k</w:t>
      </w:r>
      <w:r w:rsidR="00716374">
        <w:rPr>
          <w:rFonts w:ascii="Arial" w:hAnsi="Arial" w:cs="Arial"/>
          <w:b/>
          <w:bCs/>
        </w:rPr>
        <w:t xml:space="preserve"> </w:t>
      </w:r>
      <w:r w:rsidR="00716374">
        <w:rPr>
          <w:rFonts w:ascii="Arial" w:hAnsi="Arial" w:cs="Arial"/>
        </w:rPr>
        <w:t xml:space="preserve">as </w:t>
      </w:r>
      <w:r w:rsidR="00391312">
        <w:rPr>
          <w:rFonts w:ascii="Arial" w:hAnsi="Arial" w:cs="Arial"/>
        </w:rPr>
        <w:tab/>
      </w:r>
      <w:r w:rsidR="00716374">
        <w:rPr>
          <w:rFonts w:ascii="Arial" w:hAnsi="Arial" w:cs="Arial"/>
        </w:rPr>
        <w:t>a result</w:t>
      </w:r>
      <w:r w:rsidR="00391312">
        <w:rPr>
          <w:rFonts w:ascii="Arial" w:hAnsi="Arial" w:cs="Arial"/>
        </w:rPr>
        <w:t xml:space="preserve"> </w:t>
      </w:r>
      <w:r w:rsidR="00716374">
        <w:rPr>
          <w:rFonts w:ascii="Arial" w:hAnsi="Arial" w:cs="Arial"/>
        </w:rPr>
        <w:t>of the restructure from August 2022.</w:t>
      </w:r>
    </w:p>
    <w:p w14:paraId="7ED7E7DC" w14:textId="0B6D9FBC" w:rsidR="00716374" w:rsidRDefault="00716374" w:rsidP="00E906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4.6</w:t>
      </w:r>
      <w:r>
        <w:rPr>
          <w:rFonts w:ascii="Arial" w:hAnsi="Arial" w:cs="Arial"/>
        </w:rPr>
        <w:tab/>
      </w:r>
      <w:r w:rsidR="00A13EEF">
        <w:rPr>
          <w:rFonts w:ascii="Arial" w:hAnsi="Arial" w:cs="Arial"/>
        </w:rPr>
        <w:t xml:space="preserve">In order to continue to provide the services to our tenants and customers there is no </w:t>
      </w:r>
      <w:r w:rsidR="00A13EEF">
        <w:rPr>
          <w:rFonts w:ascii="Arial" w:hAnsi="Arial" w:cs="Arial"/>
        </w:rPr>
        <w:tab/>
        <w:t xml:space="preserve">further scope for staffing efficiencies as we are currently appropriately staffed for an </w:t>
      </w:r>
      <w:r w:rsidR="00A13EEF">
        <w:rPr>
          <w:rFonts w:ascii="Arial" w:hAnsi="Arial" w:cs="Arial"/>
        </w:rPr>
        <w:tab/>
        <w:t>organisation of our size.</w:t>
      </w:r>
    </w:p>
    <w:p w14:paraId="079594D7" w14:textId="3926E825" w:rsidR="00A13EEF" w:rsidRDefault="00A13EEF" w:rsidP="00E906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4.7</w:t>
      </w:r>
      <w:r>
        <w:rPr>
          <w:rFonts w:ascii="Arial" w:hAnsi="Arial" w:cs="Arial"/>
        </w:rPr>
        <w:tab/>
        <w:t xml:space="preserve">We continue to seek other efficiencies by cutting waste and partnering with external </w:t>
      </w:r>
      <w:r>
        <w:rPr>
          <w:rFonts w:ascii="Arial" w:hAnsi="Arial" w:cs="Arial"/>
        </w:rPr>
        <w:tab/>
        <w:t>agencies to fulfil our statutory and regulatory obligations.</w:t>
      </w:r>
    </w:p>
    <w:p w14:paraId="71C78FE6" w14:textId="77777777" w:rsidR="002D29E4" w:rsidRDefault="002D29E4" w:rsidP="002D29E4">
      <w:pPr>
        <w:shd w:val="clear" w:color="auto" w:fill="FFFFFF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4.8</w:t>
      </w:r>
      <w:r>
        <w:rPr>
          <w:rFonts w:eastAsia="Times New Roman"/>
          <w:bdr w:val="none" w:sz="0" w:space="0" w:color="auto" w:frame="1"/>
        </w:rPr>
        <w:tab/>
        <w:t xml:space="preserve">In response to the external cost environment, I have instructed Campbell Martin </w:t>
      </w:r>
      <w:r>
        <w:rPr>
          <w:rFonts w:eastAsia="Times New Roman"/>
          <w:bdr w:val="none" w:sz="0" w:space="0" w:color="auto" w:frame="1"/>
        </w:rPr>
        <w:tab/>
        <w:t xml:space="preserve">Associates to conduct a full </w:t>
      </w:r>
      <w:proofErr w:type="gramStart"/>
      <w:r>
        <w:rPr>
          <w:rFonts w:eastAsia="Times New Roman"/>
          <w:bdr w:val="none" w:sz="0" w:space="0" w:color="auto" w:frame="1"/>
        </w:rPr>
        <w:t>30 year</w:t>
      </w:r>
      <w:proofErr w:type="gramEnd"/>
      <w:r>
        <w:rPr>
          <w:rFonts w:eastAsia="Times New Roman"/>
          <w:bdr w:val="none" w:sz="0" w:space="0" w:color="auto" w:frame="1"/>
        </w:rPr>
        <w:t xml:space="preserve"> life cycle costings exercise using current costs </w:t>
      </w:r>
      <w:r>
        <w:rPr>
          <w:rFonts w:eastAsia="Times New Roman"/>
          <w:bdr w:val="none" w:sz="0" w:space="0" w:color="auto" w:frame="1"/>
        </w:rPr>
        <w:tab/>
        <w:t xml:space="preserve">as a baseline to inform our future budgeting requirements.  In addition we will have to </w:t>
      </w:r>
      <w:r>
        <w:rPr>
          <w:rFonts w:eastAsia="Times New Roman"/>
          <w:bdr w:val="none" w:sz="0" w:space="0" w:color="auto" w:frame="1"/>
        </w:rPr>
        <w:tab/>
        <w:t xml:space="preserve">review our Business Plan and update/uprate the assumptions within based on the </w:t>
      </w:r>
      <w:r>
        <w:rPr>
          <w:rFonts w:eastAsia="Times New Roman"/>
          <w:bdr w:val="none" w:sz="0" w:space="0" w:color="auto" w:frame="1"/>
        </w:rPr>
        <w:tab/>
        <w:t>reduced predicted income from rents.</w:t>
      </w:r>
    </w:p>
    <w:p w14:paraId="5DC55ABA" w14:textId="77777777" w:rsidR="002D29E4" w:rsidRDefault="002D29E4" w:rsidP="00E906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14:paraId="353774DE" w14:textId="77368974" w:rsidR="00A13EEF" w:rsidRDefault="00A13EEF" w:rsidP="00E906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5.0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RENT INCREASE PROPOSAL</w:t>
      </w:r>
    </w:p>
    <w:p w14:paraId="30C9E279" w14:textId="18224FE1" w:rsidR="00A13EEF" w:rsidRDefault="00A82A45" w:rsidP="00E906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="003F75E7">
        <w:rPr>
          <w:rFonts w:ascii="Arial" w:hAnsi="Arial" w:cs="Arial"/>
        </w:rPr>
        <w:t xml:space="preserve">By way of further background, Glasgow &amp; West of Scotland Forum (GWSF) </w:t>
      </w:r>
      <w:r w:rsidR="003F75E7">
        <w:rPr>
          <w:rFonts w:ascii="Arial" w:hAnsi="Arial" w:cs="Arial"/>
        </w:rPr>
        <w:tab/>
        <w:t xml:space="preserve">canvassed all members to ascertain consultation proposals for the forthcoming year, </w:t>
      </w:r>
      <w:r w:rsidR="003F75E7">
        <w:rPr>
          <w:rFonts w:ascii="Arial" w:hAnsi="Arial" w:cs="Arial"/>
        </w:rPr>
        <w:tab/>
      </w:r>
      <w:r w:rsidR="003F75E7">
        <w:rPr>
          <w:rFonts w:ascii="Arial" w:hAnsi="Arial" w:cs="Arial"/>
          <w:i/>
          <w:iCs/>
        </w:rPr>
        <w:t>(reproduced here, the organisations have been anonymised)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1420"/>
        <w:gridCol w:w="1191"/>
        <w:gridCol w:w="2080"/>
        <w:gridCol w:w="1660"/>
        <w:gridCol w:w="3160"/>
      </w:tblGrid>
      <w:tr w:rsidR="006C75B1" w:rsidRPr="006C75B1" w14:paraId="781055B7" w14:textId="77777777" w:rsidTr="006C75B1">
        <w:trPr>
          <w:trHeight w:val="945"/>
        </w:trPr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5663C501" w14:textId="77777777" w:rsidR="006C75B1" w:rsidRPr="006C75B1" w:rsidRDefault="006C75B1" w:rsidP="006C75B1">
            <w:pPr>
              <w:rPr>
                <w:rFonts w:eastAsia="Times New Roman"/>
                <w:b/>
                <w:bCs/>
                <w:snapToGrid/>
                <w:color w:val="FFFFFF"/>
                <w:szCs w:val="24"/>
              </w:rPr>
            </w:pPr>
            <w:r w:rsidRPr="006C75B1">
              <w:rPr>
                <w:rFonts w:eastAsia="Times New Roman"/>
                <w:b/>
                <w:bCs/>
                <w:snapToGrid/>
                <w:color w:val="FFFFFF"/>
                <w:szCs w:val="24"/>
              </w:rPr>
              <w:t>Landlord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4C89AAE7" w14:textId="77777777" w:rsidR="006C75B1" w:rsidRPr="006C75B1" w:rsidRDefault="006C75B1" w:rsidP="006C75B1">
            <w:pPr>
              <w:jc w:val="center"/>
              <w:rPr>
                <w:rFonts w:eastAsia="Times New Roman"/>
                <w:b/>
                <w:bCs/>
                <w:snapToGrid/>
                <w:color w:val="FFFFFF"/>
                <w:szCs w:val="24"/>
              </w:rPr>
            </w:pPr>
            <w:r w:rsidRPr="006C75B1">
              <w:rPr>
                <w:rFonts w:eastAsia="Times New Roman"/>
                <w:b/>
                <w:bCs/>
                <w:snapToGrid/>
                <w:color w:val="FFFFFF"/>
                <w:szCs w:val="24"/>
              </w:rPr>
              <w:t>Increase Apr-22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586E3D34" w14:textId="77777777" w:rsidR="006C75B1" w:rsidRPr="006C75B1" w:rsidRDefault="006C75B1" w:rsidP="006C75B1">
            <w:pPr>
              <w:jc w:val="center"/>
              <w:rPr>
                <w:rFonts w:eastAsia="Times New Roman"/>
                <w:b/>
                <w:bCs/>
                <w:snapToGrid/>
                <w:color w:val="FFFFFF"/>
                <w:szCs w:val="24"/>
              </w:rPr>
            </w:pPr>
            <w:r w:rsidRPr="006C75B1">
              <w:rPr>
                <w:rFonts w:eastAsia="Times New Roman"/>
                <w:b/>
                <w:bCs/>
                <w:snapToGrid/>
                <w:color w:val="FFFFFF"/>
                <w:szCs w:val="24"/>
              </w:rPr>
              <w:t>Proposed increase for April 2023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182ED334" w14:textId="77777777" w:rsidR="006C75B1" w:rsidRPr="006C75B1" w:rsidRDefault="006C75B1" w:rsidP="006C75B1">
            <w:pPr>
              <w:jc w:val="center"/>
              <w:rPr>
                <w:rFonts w:eastAsia="Times New Roman"/>
                <w:b/>
                <w:bCs/>
                <w:snapToGrid/>
                <w:color w:val="FFFFFF"/>
                <w:szCs w:val="24"/>
              </w:rPr>
            </w:pPr>
            <w:r w:rsidRPr="006C75B1">
              <w:rPr>
                <w:rFonts w:eastAsia="Times New Roman"/>
                <w:b/>
                <w:bCs/>
                <w:snapToGrid/>
                <w:color w:val="FFFFFF"/>
                <w:szCs w:val="24"/>
              </w:rPr>
              <w:t>Alternate Proposal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5769272A" w14:textId="77777777" w:rsidR="006C75B1" w:rsidRPr="006C75B1" w:rsidRDefault="006C75B1" w:rsidP="006C75B1">
            <w:pPr>
              <w:jc w:val="center"/>
              <w:rPr>
                <w:rFonts w:eastAsia="Times New Roman"/>
                <w:b/>
                <w:bCs/>
                <w:snapToGrid/>
                <w:color w:val="FFFFFF"/>
                <w:szCs w:val="24"/>
              </w:rPr>
            </w:pPr>
            <w:r w:rsidRPr="006C75B1">
              <w:rPr>
                <w:rFonts w:eastAsia="Times New Roman"/>
                <w:b/>
                <w:bCs/>
                <w:snapToGrid/>
                <w:color w:val="FFFFFF"/>
                <w:szCs w:val="24"/>
              </w:rPr>
              <w:t>Commentary/remarks</w:t>
            </w:r>
          </w:p>
        </w:tc>
      </w:tr>
      <w:tr w:rsidR="006C75B1" w:rsidRPr="006C75B1" w14:paraId="45314DCA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B5370E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0DEB61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4.20%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0BB32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E544A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2886257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5323CC6D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822258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6C39ED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3.90%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F6F629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6.00%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4E848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03EC54D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4C9E5D4E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6646F1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BC611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4.00%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E6A660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8968A0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37F7B00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0C17FB81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6E5CEA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EF6636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4.70%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30D9F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27BDD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1AAAF69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22AA70B4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184BBA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1DCA18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3.00%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DED9C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6.00%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550AA1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C85C38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1AE66D7C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B26362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9B9711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FF59BD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229D86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E01ECCE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5D3CCE42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02EEF0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952C3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4.20%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CD9783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3A6782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A1EE39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1900F4BE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C193BF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4DAAB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4.00%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9B7F1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6721F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68F7826" w14:textId="77777777" w:rsidR="006C75B1" w:rsidRPr="006C75B1" w:rsidRDefault="006C75B1" w:rsidP="006C75B1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or 9%</w:t>
            </w:r>
          </w:p>
        </w:tc>
      </w:tr>
      <w:tr w:rsidR="006C75B1" w:rsidRPr="006C75B1" w14:paraId="6E6D8673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B9D392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F66ADE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3.10%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6EB6E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6B2691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EB34511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35975BD3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CBCB8E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4D086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498248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17FD0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F525BC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713F2A18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AA7D88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9E6FA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1.50%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2DF158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90A618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F40BA7C" w14:textId="77777777" w:rsidR="006C75B1" w:rsidRPr="006C75B1" w:rsidRDefault="006C75B1" w:rsidP="006C75B1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or 5%</w:t>
            </w:r>
          </w:p>
        </w:tc>
      </w:tr>
      <w:tr w:rsidR="006C75B1" w:rsidRPr="006C75B1" w14:paraId="033D7DCB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3ECF16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9B35EA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4.20%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703152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20CC0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C416145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415A92F9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0F9389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9BD0D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4.10%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A82320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5833A0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8C17962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0D4FDB9B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C52349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E796A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4.20%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8AD35D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DB830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23F9BFB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325EAE39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A880AE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5D75F8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2.10%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836E02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1FFE11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D62CCFB" w14:textId="77777777" w:rsidR="006C75B1" w:rsidRPr="006C75B1" w:rsidRDefault="006C75B1" w:rsidP="006C75B1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tbc</w:t>
            </w:r>
          </w:p>
        </w:tc>
      </w:tr>
      <w:tr w:rsidR="006C75B1" w:rsidRPr="006C75B1" w14:paraId="1F0EBBE7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4E8FE7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F390E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4.10%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0A8452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83238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FF7589A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1A18329C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4B49FD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6223C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3.10%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049F2E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5B7F86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F383363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1933B9B7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5A55C0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9880BC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3.50%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8FB24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B6D23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5AB56F5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2CE0C9E1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686A9C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CEC74C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3.50%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C0ACB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6.00%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AEB6EE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AACA91E" w14:textId="77777777" w:rsidR="006C75B1" w:rsidRPr="006C75B1" w:rsidRDefault="006C75B1" w:rsidP="006C75B1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or 9%</w:t>
            </w:r>
          </w:p>
        </w:tc>
      </w:tr>
      <w:tr w:rsidR="006C75B1" w:rsidRPr="006C75B1" w14:paraId="3A41B8BA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AD7862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F0118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3.60%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DE592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0E8AC7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8EEBFD2" w14:textId="77777777" w:rsidR="006C75B1" w:rsidRPr="006C75B1" w:rsidRDefault="006C75B1" w:rsidP="006C75B1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tbc business plan stated CPI + 1%</w:t>
            </w:r>
          </w:p>
        </w:tc>
      </w:tr>
      <w:tr w:rsidR="006C75B1" w:rsidRPr="006C75B1" w14:paraId="39718FE2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587E75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F7FB8A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3.20%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7996FA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AA1D75A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DCF6C11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1E057543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A9A46C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159C7A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4.20%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20B49C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BD98A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096A35A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0B46F895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703C58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C7CDDE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4.20%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31859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DE66FE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1721EB2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11C252BE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BB358F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028916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3.70%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51FE89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9EBD30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DCCB82C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790C003A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ED05EF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098388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3.60%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07CCDA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C4A95D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4645B36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4C89BA94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71BA90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0F0C2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3.80%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51952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D3A500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C6DD4CD" w14:textId="77777777" w:rsidR="006C75B1" w:rsidRPr="006C75B1" w:rsidRDefault="006C75B1" w:rsidP="006C75B1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rent freeze 2020/21</w:t>
            </w:r>
          </w:p>
        </w:tc>
      </w:tr>
      <w:tr w:rsidR="006C75B1" w:rsidRPr="006C75B1" w14:paraId="429543CC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C78E37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A7B4A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3.00%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C9B732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85B4CE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6.00%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5763328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5FB99FE2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56C0C6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2E59B3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2.70%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3405EA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D3AC5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0874047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26733768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3794DD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56DFF1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2.60%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D9EB8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2E799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9FC130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3DCB3B44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216347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EA741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751D6D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F6D4E8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6C52C137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28550AD6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AD62EA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B88239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2.90%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68AF08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0F9628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9.00%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F00449C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289B7D6D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8D7860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4FE36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3.10%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D3A8C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FFBE20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A2DC2EA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6B8FB44D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278015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699C6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3.50%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A17E6D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7BC3C3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8.20%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911D11A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4D870F85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04D05C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B9F990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A8069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11DAA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FFED039" w14:textId="77777777" w:rsidR="006C75B1" w:rsidRPr="006C75B1" w:rsidRDefault="006C75B1" w:rsidP="006C75B1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or 9%</w:t>
            </w:r>
          </w:p>
        </w:tc>
      </w:tr>
      <w:tr w:rsidR="006C75B1" w:rsidRPr="006C75B1" w14:paraId="169CE187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6B41F9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CED370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4.00%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922B5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9525D6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7.00%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D940E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5F5C7CB0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84A8AD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47A3E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67B17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0F957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7E6E143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741FA4CF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28525C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EC9F3C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3.10%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A5BEE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9725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9C560CF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43446A71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02A191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FD27FE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3.60%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F41FE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78B89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4E19E7" w14:textId="77777777" w:rsidR="006C75B1" w:rsidRPr="006C75B1" w:rsidRDefault="006C75B1" w:rsidP="006C75B1">
            <w:pPr>
              <w:jc w:val="center"/>
              <w:rPr>
                <w:rFonts w:ascii="Times New Roman" w:eastAsia="Times New Roman" w:hAnsi="Times New Roman" w:cs="Times New Roman"/>
                <w:snapToGrid/>
                <w:sz w:val="20"/>
              </w:rPr>
            </w:pPr>
          </w:p>
        </w:tc>
      </w:tr>
      <w:tr w:rsidR="006C75B1" w:rsidRPr="006C75B1" w14:paraId="758CA072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B43B61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56D94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5.20%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DA0E8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6BF814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2190974" w14:textId="77777777" w:rsidR="006C75B1" w:rsidRPr="006C75B1" w:rsidRDefault="006C75B1" w:rsidP="006C75B1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or 7%</w:t>
            </w:r>
          </w:p>
        </w:tc>
      </w:tr>
      <w:tr w:rsidR="006C75B1" w:rsidRPr="006C75B1" w14:paraId="510B805E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F4388A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29DB2D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CA2D67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13CC361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6.00%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320167D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3B6BF51A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487C04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CA69CA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1.90%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493709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3.00%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D12723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DD765DF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5491A8FD" w14:textId="77777777" w:rsidTr="006C75B1">
        <w:trPr>
          <w:trHeight w:val="300"/>
        </w:trPr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A6BF29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006422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3.00%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0E36D5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5.50%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5A51FB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  <w:t>6.50%</w:t>
            </w:r>
          </w:p>
        </w:tc>
        <w:tc>
          <w:tcPr>
            <w:tcW w:w="3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9080AC3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C75B1" w:rsidRPr="006C75B1" w14:paraId="59E8456B" w14:textId="77777777" w:rsidTr="006C75B1">
        <w:trPr>
          <w:trHeight w:val="300"/>
        </w:trPr>
        <w:tc>
          <w:tcPr>
            <w:tcW w:w="1420" w:type="dxa"/>
            <w:tcBorders>
              <w:top w:val="double" w:sz="6" w:space="0" w:color="4472C4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0CDD0E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double" w:sz="6" w:space="0" w:color="4472C4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89588C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</w:rPr>
              <w:t>3.42%</w:t>
            </w:r>
          </w:p>
        </w:tc>
        <w:tc>
          <w:tcPr>
            <w:tcW w:w="2080" w:type="dxa"/>
            <w:tcBorders>
              <w:top w:val="double" w:sz="6" w:space="0" w:color="4472C4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16D371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</w:rPr>
              <w:t>5.01%</w:t>
            </w:r>
          </w:p>
        </w:tc>
        <w:tc>
          <w:tcPr>
            <w:tcW w:w="1660" w:type="dxa"/>
            <w:tcBorders>
              <w:top w:val="double" w:sz="6" w:space="0" w:color="4472C4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BA750E" w14:textId="77777777" w:rsidR="006C75B1" w:rsidRPr="006C75B1" w:rsidRDefault="006C75B1" w:rsidP="006C75B1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</w:rPr>
              <w:t>6.53%</w:t>
            </w:r>
          </w:p>
        </w:tc>
        <w:tc>
          <w:tcPr>
            <w:tcW w:w="3160" w:type="dxa"/>
            <w:tcBorders>
              <w:top w:val="double" w:sz="6" w:space="0" w:color="4472C4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29A693" w14:textId="77777777" w:rsidR="006C75B1" w:rsidRPr="006C75B1" w:rsidRDefault="006C75B1" w:rsidP="006C75B1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6C75B1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</w:rPr>
              <w:t>8</w:t>
            </w:r>
          </w:p>
        </w:tc>
      </w:tr>
    </w:tbl>
    <w:p w14:paraId="472AF899" w14:textId="133BBDB9" w:rsidR="003F75E7" w:rsidRDefault="003F75E7" w:rsidP="00E906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14:paraId="3BA03E99" w14:textId="77777777" w:rsidR="00A82A45" w:rsidRDefault="00A82A45" w:rsidP="00E906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 xml:space="preserve">There were a total of </w:t>
      </w:r>
      <w:r w:rsidRPr="00A82A45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respondents. </w:t>
      </w:r>
    </w:p>
    <w:p w14:paraId="10F9F206" w14:textId="77777777" w:rsidR="00A82A45" w:rsidRDefault="006C75B1" w:rsidP="00A82A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</w:rPr>
      </w:pPr>
      <w:r w:rsidRPr="00A82A4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average 1</w:t>
      </w:r>
      <w:r w:rsidRPr="006C75B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proposal </w:t>
      </w:r>
      <w:r w:rsidR="00A82A45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5.01%, </w:t>
      </w:r>
    </w:p>
    <w:p w14:paraId="3030DA38" w14:textId="77777777" w:rsidR="00A82A45" w:rsidRDefault="00A82A45" w:rsidP="00A82A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C75B1">
        <w:rPr>
          <w:rFonts w:ascii="Arial" w:hAnsi="Arial" w:cs="Arial"/>
        </w:rPr>
        <w:t xml:space="preserve">average </w:t>
      </w:r>
      <w:r>
        <w:rPr>
          <w:rFonts w:ascii="Arial" w:hAnsi="Arial" w:cs="Arial"/>
        </w:rPr>
        <w:tab/>
      </w:r>
      <w:r w:rsidR="006C75B1">
        <w:rPr>
          <w:rFonts w:ascii="Arial" w:hAnsi="Arial" w:cs="Arial"/>
        </w:rPr>
        <w:t>2</w:t>
      </w:r>
      <w:r w:rsidR="006C75B1" w:rsidRPr="006C75B1">
        <w:rPr>
          <w:rFonts w:ascii="Arial" w:hAnsi="Arial" w:cs="Arial"/>
          <w:vertAlign w:val="superscript"/>
        </w:rPr>
        <w:t>nd</w:t>
      </w:r>
      <w:r w:rsidR="006C75B1">
        <w:rPr>
          <w:rFonts w:ascii="Arial" w:hAnsi="Arial" w:cs="Arial"/>
        </w:rPr>
        <w:t xml:space="preserve"> proposal </w:t>
      </w:r>
      <w:r>
        <w:rPr>
          <w:rFonts w:ascii="Arial" w:hAnsi="Arial" w:cs="Arial"/>
        </w:rPr>
        <w:t>was</w:t>
      </w:r>
      <w:r w:rsidR="006C75B1">
        <w:rPr>
          <w:rFonts w:ascii="Arial" w:hAnsi="Arial" w:cs="Arial"/>
        </w:rPr>
        <w:t xml:space="preserve"> 6.53% and </w:t>
      </w:r>
    </w:p>
    <w:p w14:paraId="426A1D56" w14:textId="77777777" w:rsidR="00A82A45" w:rsidRDefault="00A82A45" w:rsidP="00A82A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</w:rPr>
      </w:pPr>
      <w:r w:rsidRPr="00A82A45">
        <w:rPr>
          <w:rFonts w:ascii="Arial" w:hAnsi="Arial" w:cs="Arial"/>
        </w:rPr>
        <w:t>T</w:t>
      </w:r>
      <w:r w:rsidR="006C75B1" w:rsidRPr="00A82A45">
        <w:rPr>
          <w:rFonts w:ascii="Arial" w:hAnsi="Arial" w:cs="Arial"/>
        </w:rPr>
        <w:t>he average of those stating a possible or actual</w:t>
      </w:r>
      <w:r w:rsidRPr="00A82A45">
        <w:rPr>
          <w:rFonts w:ascii="Arial" w:hAnsi="Arial" w:cs="Arial"/>
        </w:rPr>
        <w:t xml:space="preserve"> </w:t>
      </w:r>
      <w:r w:rsidR="006C75B1" w:rsidRPr="00A82A45">
        <w:rPr>
          <w:rFonts w:ascii="Arial" w:hAnsi="Arial" w:cs="Arial"/>
        </w:rPr>
        <w:t>3</w:t>
      </w:r>
      <w:r w:rsidR="006C75B1" w:rsidRPr="00A82A45">
        <w:rPr>
          <w:rFonts w:ascii="Arial" w:hAnsi="Arial" w:cs="Arial"/>
          <w:vertAlign w:val="superscript"/>
        </w:rPr>
        <w:t>rd</w:t>
      </w:r>
      <w:r w:rsidR="006C75B1" w:rsidRPr="00A82A45">
        <w:rPr>
          <w:rFonts w:ascii="Arial" w:hAnsi="Arial" w:cs="Arial"/>
        </w:rPr>
        <w:t xml:space="preserve"> proposal</w:t>
      </w:r>
      <w:r w:rsidRPr="00A82A45">
        <w:rPr>
          <w:rFonts w:ascii="Arial" w:hAnsi="Arial" w:cs="Arial"/>
        </w:rPr>
        <w:t xml:space="preserve"> was 7.8%,</w:t>
      </w:r>
    </w:p>
    <w:p w14:paraId="6D8F3665" w14:textId="1EB3C735" w:rsidR="00A82A45" w:rsidRPr="00A82A45" w:rsidRDefault="00A82A45" w:rsidP="00A82A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</w:rPr>
      </w:pPr>
      <w:r w:rsidRPr="00A82A45">
        <w:rPr>
          <w:rFonts w:ascii="Arial" w:hAnsi="Arial" w:cs="Arial"/>
        </w:rPr>
        <w:t xml:space="preserve">a further 2 organisations were yet to consider a proposal for </w:t>
      </w:r>
      <w:r w:rsidRPr="00A82A45">
        <w:rPr>
          <w:rFonts w:ascii="Arial" w:hAnsi="Arial" w:cs="Arial"/>
        </w:rPr>
        <w:tab/>
        <w:t xml:space="preserve">an increase from </w:t>
      </w:r>
    </w:p>
    <w:p w14:paraId="6D1DB4DB" w14:textId="2C116DE3" w:rsidR="004E17DE" w:rsidRDefault="00A82A45" w:rsidP="00A82A45">
      <w:pPr>
        <w:pStyle w:val="Normal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2A45">
        <w:rPr>
          <w:rFonts w:ascii="Arial" w:hAnsi="Arial" w:cs="Arial"/>
        </w:rPr>
        <w:t>1</w:t>
      </w:r>
      <w:r w:rsidRPr="00A82A45">
        <w:rPr>
          <w:rFonts w:ascii="Arial" w:hAnsi="Arial" w:cs="Arial"/>
          <w:vertAlign w:val="superscript"/>
        </w:rPr>
        <w:t>st</w:t>
      </w:r>
      <w:r w:rsidRPr="00A82A45">
        <w:rPr>
          <w:rFonts w:ascii="Arial" w:hAnsi="Arial" w:cs="Arial"/>
        </w:rPr>
        <w:t xml:space="preserve"> April 2023.</w:t>
      </w:r>
    </w:p>
    <w:p w14:paraId="33B1792E" w14:textId="46432B4A" w:rsidR="004E17DE" w:rsidRDefault="004E17DE" w:rsidP="004E17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  <w:t xml:space="preserve">The respondents were a wide range of small, </w:t>
      </w:r>
      <w:proofErr w:type="gramStart"/>
      <w:r>
        <w:rPr>
          <w:rFonts w:ascii="Arial" w:hAnsi="Arial" w:cs="Arial"/>
        </w:rPr>
        <w:t>medium</w:t>
      </w:r>
      <w:proofErr w:type="gramEnd"/>
      <w:r>
        <w:rPr>
          <w:rFonts w:ascii="Arial" w:hAnsi="Arial" w:cs="Arial"/>
        </w:rPr>
        <w:t xml:space="preserve"> and large RSL’s.  A number of </w:t>
      </w:r>
      <w:r>
        <w:rPr>
          <w:rFonts w:ascii="Arial" w:hAnsi="Arial" w:cs="Arial"/>
        </w:rPr>
        <w:tab/>
        <w:t xml:space="preserve">RSL’s also added comments as to whether they will have to reduce, </w:t>
      </w:r>
      <w:proofErr w:type="gramStart"/>
      <w:r>
        <w:rPr>
          <w:rFonts w:ascii="Arial" w:hAnsi="Arial" w:cs="Arial"/>
        </w:rPr>
        <w:t>remove</w:t>
      </w:r>
      <w:proofErr w:type="gramEnd"/>
      <w:r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ab/>
        <w:t xml:space="preserve">remodel services including maintenance and component replacements with one </w:t>
      </w:r>
      <w:r>
        <w:rPr>
          <w:rFonts w:ascii="Arial" w:hAnsi="Arial" w:cs="Arial"/>
        </w:rPr>
        <w:tab/>
        <w:t>having commented:-</w:t>
      </w:r>
    </w:p>
    <w:p w14:paraId="48F0428C" w14:textId="001BC5DC" w:rsidR="004E17DE" w:rsidRDefault="004E17DE" w:rsidP="004E17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bdr w:val="none" w:sz="0" w:space="0" w:color="auto" w:frame="1"/>
        </w:rPr>
      </w:pPr>
      <w:r>
        <w:rPr>
          <w:rFonts w:ascii="Arial" w:hAnsi="Arial" w:cs="Arial"/>
          <w:color w:val="FF0000"/>
          <w:bdr w:val="none" w:sz="0" w:space="0" w:color="auto" w:frame="1"/>
        </w:rPr>
        <w:lastRenderedPageBreak/>
        <w:tab/>
      </w:r>
      <w:r>
        <w:rPr>
          <w:rFonts w:ascii="Arial" w:hAnsi="Arial" w:cs="Arial"/>
          <w:color w:val="FF0000"/>
          <w:bdr w:val="none" w:sz="0" w:space="0" w:color="auto" w:frame="1"/>
        </w:rPr>
        <w:tab/>
      </w:r>
      <w:r w:rsidRPr="004E17DE">
        <w:rPr>
          <w:rFonts w:ascii="Arial" w:hAnsi="Arial" w:cs="Arial"/>
          <w:bdr w:val="none" w:sz="0" w:space="0" w:color="auto" w:frame="1"/>
        </w:rPr>
        <w:t>“</w:t>
      </w:r>
      <w:r w:rsidRPr="004E17DE">
        <w:rPr>
          <w:rFonts w:ascii="Arial" w:hAnsi="Arial" w:cs="Arial"/>
          <w:i/>
          <w:iCs/>
          <w:bdr w:val="none" w:sz="0" w:space="0" w:color="auto" w:frame="1"/>
        </w:rPr>
        <w:t xml:space="preserve">Just to confirm it looks like we are consulting on 6%/7% subject to Board </w:t>
      </w:r>
      <w:r w:rsidRPr="004E17DE">
        <w:rPr>
          <w:rFonts w:ascii="Arial" w:hAnsi="Arial" w:cs="Arial"/>
          <w:i/>
          <w:iCs/>
          <w:bdr w:val="none" w:sz="0" w:space="0" w:color="auto" w:frame="1"/>
        </w:rPr>
        <w:tab/>
      </w:r>
      <w:r w:rsidRPr="004E17DE">
        <w:rPr>
          <w:rFonts w:ascii="Arial" w:hAnsi="Arial" w:cs="Arial"/>
          <w:i/>
          <w:iCs/>
          <w:bdr w:val="none" w:sz="0" w:space="0" w:color="auto" w:frame="1"/>
        </w:rPr>
        <w:tab/>
      </w:r>
      <w:r w:rsidRPr="004E17DE">
        <w:rPr>
          <w:rFonts w:ascii="Arial" w:hAnsi="Arial" w:cs="Arial"/>
          <w:i/>
          <w:iCs/>
          <w:bdr w:val="none" w:sz="0" w:space="0" w:color="auto" w:frame="1"/>
        </w:rPr>
        <w:tab/>
        <w:t xml:space="preserve">approval, the downside of voluntary rent freezes during lockdown! Either </w:t>
      </w:r>
      <w:r w:rsidRPr="004E17DE">
        <w:rPr>
          <w:rFonts w:ascii="Arial" w:hAnsi="Arial" w:cs="Arial"/>
          <w:i/>
          <w:iCs/>
          <w:bdr w:val="none" w:sz="0" w:space="0" w:color="auto" w:frame="1"/>
        </w:rPr>
        <w:tab/>
      </w:r>
      <w:r w:rsidRPr="004E17DE">
        <w:rPr>
          <w:rFonts w:ascii="Arial" w:hAnsi="Arial" w:cs="Arial"/>
          <w:i/>
          <w:iCs/>
          <w:bdr w:val="none" w:sz="0" w:space="0" w:color="auto" w:frame="1"/>
        </w:rPr>
        <w:tab/>
      </w:r>
      <w:r w:rsidRPr="004E17DE">
        <w:rPr>
          <w:rFonts w:ascii="Arial" w:hAnsi="Arial" w:cs="Arial"/>
          <w:i/>
          <w:iCs/>
          <w:bdr w:val="none" w:sz="0" w:space="0" w:color="auto" w:frame="1"/>
        </w:rPr>
        <w:tab/>
        <w:t xml:space="preserve">figure will mean reduction in the component replacement programme, and the </w:t>
      </w:r>
      <w:r w:rsidRPr="004E17DE">
        <w:rPr>
          <w:rFonts w:ascii="Arial" w:hAnsi="Arial" w:cs="Arial"/>
          <w:i/>
          <w:iCs/>
          <w:bdr w:val="none" w:sz="0" w:space="0" w:color="auto" w:frame="1"/>
        </w:rPr>
        <w:tab/>
      </w:r>
      <w:r w:rsidRPr="004E17DE">
        <w:rPr>
          <w:rFonts w:ascii="Arial" w:hAnsi="Arial" w:cs="Arial"/>
          <w:i/>
          <w:iCs/>
          <w:bdr w:val="none" w:sz="0" w:space="0" w:color="auto" w:frame="1"/>
        </w:rPr>
        <w:tab/>
        <w:t xml:space="preserve">lower figure will likely mean the removal of our tenant hardship </w:t>
      </w:r>
      <w:proofErr w:type="gramStart"/>
      <w:r w:rsidRPr="004E17DE">
        <w:rPr>
          <w:rFonts w:ascii="Arial" w:hAnsi="Arial" w:cs="Arial"/>
          <w:i/>
          <w:iCs/>
          <w:bdr w:val="none" w:sz="0" w:space="0" w:color="auto" w:frame="1"/>
        </w:rPr>
        <w:t>fun</w:t>
      </w:r>
      <w:r>
        <w:rPr>
          <w:rFonts w:ascii="Arial" w:hAnsi="Arial" w:cs="Arial"/>
          <w:i/>
          <w:iCs/>
          <w:bdr w:val="none" w:sz="0" w:space="0" w:color="auto" w:frame="1"/>
        </w:rPr>
        <w:t>d”</w:t>
      </w:r>
      <w:proofErr w:type="gramEnd"/>
    </w:p>
    <w:p w14:paraId="44823B6C" w14:textId="532E8869" w:rsidR="004E17DE" w:rsidRDefault="004E17DE" w:rsidP="004E17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bdr w:val="none" w:sz="0" w:space="0" w:color="auto" w:frame="1"/>
        </w:rPr>
      </w:pPr>
    </w:p>
    <w:p w14:paraId="3B33F4C5" w14:textId="5FE2158E" w:rsidR="004E17DE" w:rsidRDefault="004E17DE" w:rsidP="004E17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i/>
          <w:iCs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>Another commented:-</w:t>
      </w:r>
    </w:p>
    <w:p w14:paraId="0A1D16EC" w14:textId="40DFFA9E" w:rsidR="004E17DE" w:rsidRDefault="004E17DE" w:rsidP="004E17DE">
      <w:pPr>
        <w:shd w:val="clear" w:color="auto" w:fill="FFFFFF"/>
        <w:rPr>
          <w:rFonts w:eastAsia="Times New Roman"/>
          <w:i/>
          <w:iCs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>“</w:t>
      </w:r>
      <w:r w:rsidRPr="004E17DE">
        <w:rPr>
          <w:rFonts w:eastAsia="Times New Roman"/>
          <w:i/>
          <w:iCs/>
          <w:bdr w:val="none" w:sz="0" w:space="0" w:color="auto" w:frame="1"/>
        </w:rPr>
        <w:t xml:space="preserve">Committee have considered a number of options in rephrasing external </w:t>
      </w:r>
      <w:r w:rsidRPr="004E17DE">
        <w:rPr>
          <w:rFonts w:eastAsia="Times New Roman"/>
          <w:i/>
          <w:iCs/>
          <w:bdr w:val="none" w:sz="0" w:space="0" w:color="auto" w:frame="1"/>
        </w:rPr>
        <w:tab/>
      </w:r>
      <w:r w:rsidRPr="004E17DE">
        <w:rPr>
          <w:rFonts w:eastAsia="Times New Roman"/>
          <w:i/>
          <w:iCs/>
          <w:bdr w:val="none" w:sz="0" w:space="0" w:color="auto" w:frame="1"/>
        </w:rPr>
        <w:tab/>
      </w:r>
      <w:r w:rsidRPr="004E17DE">
        <w:rPr>
          <w:rFonts w:eastAsia="Times New Roman"/>
          <w:i/>
          <w:iCs/>
          <w:bdr w:val="none" w:sz="0" w:space="0" w:color="auto" w:frame="1"/>
        </w:rPr>
        <w:tab/>
        <w:t xml:space="preserve">works, and reduction in kitchen /bathroom renewal programme, some internal </w:t>
      </w:r>
      <w:r w:rsidRPr="004E17DE">
        <w:rPr>
          <w:rFonts w:eastAsia="Times New Roman"/>
          <w:i/>
          <w:iCs/>
          <w:bdr w:val="none" w:sz="0" w:space="0" w:color="auto" w:frame="1"/>
        </w:rPr>
        <w:tab/>
      </w:r>
      <w:r w:rsidRPr="004E17DE">
        <w:rPr>
          <w:rFonts w:eastAsia="Times New Roman"/>
          <w:i/>
          <w:iCs/>
          <w:bdr w:val="none" w:sz="0" w:space="0" w:color="auto" w:frame="1"/>
        </w:rPr>
        <w:tab/>
        <w:t xml:space="preserve">works </w:t>
      </w:r>
      <w:r w:rsidRPr="004E17DE">
        <w:rPr>
          <w:rFonts w:eastAsia="Times New Roman"/>
          <w:i/>
          <w:iCs/>
          <w:bdr w:val="none" w:sz="0" w:space="0" w:color="auto" w:frame="1"/>
        </w:rPr>
        <w:tab/>
        <w:t xml:space="preserve">such as replacing internal pass doors as well as CPI + 1.5% for three </w:t>
      </w:r>
      <w:r w:rsidRPr="004E17DE">
        <w:rPr>
          <w:rFonts w:eastAsia="Times New Roman"/>
          <w:i/>
          <w:iCs/>
          <w:bdr w:val="none" w:sz="0" w:space="0" w:color="auto" w:frame="1"/>
        </w:rPr>
        <w:tab/>
      </w:r>
      <w:r w:rsidRPr="004E17DE">
        <w:rPr>
          <w:rFonts w:eastAsia="Times New Roman"/>
          <w:i/>
          <w:iCs/>
          <w:bdr w:val="none" w:sz="0" w:space="0" w:color="auto" w:frame="1"/>
        </w:rPr>
        <w:tab/>
        <w:t xml:space="preserve">years for both increases. Anything below 7% will result in a severe cut in </w:t>
      </w:r>
      <w:r w:rsidRPr="004E17DE">
        <w:rPr>
          <w:rFonts w:eastAsia="Times New Roman"/>
          <w:i/>
          <w:iCs/>
          <w:bdr w:val="none" w:sz="0" w:space="0" w:color="auto" w:frame="1"/>
        </w:rPr>
        <w:tab/>
      </w:r>
      <w:r w:rsidRPr="004E17DE">
        <w:rPr>
          <w:rFonts w:eastAsia="Times New Roman"/>
          <w:i/>
          <w:iCs/>
          <w:bdr w:val="none" w:sz="0" w:space="0" w:color="auto" w:frame="1"/>
        </w:rPr>
        <w:tab/>
      </w:r>
      <w:r w:rsidRPr="004E17DE">
        <w:rPr>
          <w:rFonts w:eastAsia="Times New Roman"/>
          <w:i/>
          <w:iCs/>
          <w:bdr w:val="none" w:sz="0" w:space="0" w:color="auto" w:frame="1"/>
        </w:rPr>
        <w:tab/>
        <w:t>services. At all times we will maintain our legal obligations.”</w:t>
      </w:r>
    </w:p>
    <w:p w14:paraId="6B9E4514" w14:textId="31CD0D9F" w:rsidR="004E17DE" w:rsidRDefault="004E17DE" w:rsidP="004E17DE">
      <w:pPr>
        <w:shd w:val="clear" w:color="auto" w:fill="FFFFFF"/>
        <w:rPr>
          <w:rFonts w:eastAsia="Times New Roman"/>
          <w:i/>
          <w:iCs/>
          <w:bdr w:val="none" w:sz="0" w:space="0" w:color="auto" w:frame="1"/>
        </w:rPr>
      </w:pPr>
    </w:p>
    <w:p w14:paraId="008B8968" w14:textId="0C7CE8CF" w:rsidR="0031648A" w:rsidRDefault="004E17DE" w:rsidP="0031648A">
      <w:pPr>
        <w:ind w:left="720" w:hanging="720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5.4</w:t>
      </w:r>
      <w:r>
        <w:rPr>
          <w:rFonts w:eastAsia="Times New Roman"/>
          <w:bdr w:val="none" w:sz="0" w:space="0" w:color="auto" w:frame="1"/>
        </w:rPr>
        <w:tab/>
      </w:r>
      <w:r w:rsidR="0031648A">
        <w:t xml:space="preserve">The five year and 30-year budget projections assumed an annual increase of at least inflation, the assumption used to be 2% per annum, however the inflation rate at December 2022 was 10.5%. </w:t>
      </w:r>
    </w:p>
    <w:p w14:paraId="524DEFF9" w14:textId="77777777" w:rsidR="0031648A" w:rsidRDefault="0031648A" w:rsidP="004E17DE">
      <w:pPr>
        <w:shd w:val="clear" w:color="auto" w:fill="FFFFFF"/>
        <w:rPr>
          <w:rFonts w:eastAsia="Times New Roman"/>
          <w:bdr w:val="none" w:sz="0" w:space="0" w:color="auto" w:frame="1"/>
        </w:rPr>
      </w:pPr>
    </w:p>
    <w:p w14:paraId="22906242" w14:textId="47BF195B" w:rsidR="004E17DE" w:rsidRDefault="002D29E4" w:rsidP="004E17DE">
      <w:pPr>
        <w:shd w:val="clear" w:color="auto" w:fill="FFFFFF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5.5</w:t>
      </w:r>
      <w:r w:rsidR="0031648A">
        <w:rPr>
          <w:rFonts w:eastAsia="Times New Roman"/>
          <w:bdr w:val="none" w:sz="0" w:space="0" w:color="auto" w:frame="1"/>
        </w:rPr>
        <w:tab/>
      </w:r>
      <w:r w:rsidR="00C6759B">
        <w:rPr>
          <w:rFonts w:eastAsia="Times New Roman"/>
          <w:bdr w:val="none" w:sz="0" w:space="0" w:color="auto" w:frame="1"/>
        </w:rPr>
        <w:t xml:space="preserve">Having looked at the evidence from other RSL’s, the Scottish Government and taking </w:t>
      </w:r>
      <w:r w:rsidR="00042B59">
        <w:rPr>
          <w:rFonts w:eastAsia="Times New Roman"/>
          <w:bdr w:val="none" w:sz="0" w:space="0" w:color="auto" w:frame="1"/>
        </w:rPr>
        <w:tab/>
      </w:r>
      <w:r w:rsidR="00C6759B">
        <w:rPr>
          <w:rFonts w:eastAsia="Times New Roman"/>
          <w:bdr w:val="none" w:sz="0" w:space="0" w:color="auto" w:frame="1"/>
        </w:rPr>
        <w:t xml:space="preserve">note that the Bank of England predicts the inflation rate, although remaining high </w:t>
      </w:r>
      <w:r w:rsidR="00042B59">
        <w:rPr>
          <w:rFonts w:eastAsia="Times New Roman"/>
          <w:bdr w:val="none" w:sz="0" w:space="0" w:color="auto" w:frame="1"/>
        </w:rPr>
        <w:tab/>
      </w:r>
      <w:r w:rsidR="00C6759B">
        <w:rPr>
          <w:rFonts w:eastAsia="Times New Roman"/>
          <w:bdr w:val="none" w:sz="0" w:space="0" w:color="auto" w:frame="1"/>
        </w:rPr>
        <w:t xml:space="preserve">throughout the coming financial year, will reduce possibly to half the current rate, and </w:t>
      </w:r>
      <w:r w:rsidR="00042B59">
        <w:rPr>
          <w:rFonts w:eastAsia="Times New Roman"/>
          <w:bdr w:val="none" w:sz="0" w:space="0" w:color="auto" w:frame="1"/>
        </w:rPr>
        <w:tab/>
      </w:r>
      <w:r w:rsidR="00C6759B">
        <w:rPr>
          <w:rFonts w:eastAsia="Times New Roman"/>
          <w:bdr w:val="none" w:sz="0" w:space="0" w:color="auto" w:frame="1"/>
        </w:rPr>
        <w:t>set against the real cost implications for continuing to provide services</w:t>
      </w:r>
      <w:r w:rsidR="00042B59">
        <w:rPr>
          <w:rFonts w:eastAsia="Times New Roman"/>
          <w:bdr w:val="none" w:sz="0" w:space="0" w:color="auto" w:frame="1"/>
        </w:rPr>
        <w:t xml:space="preserve">, </w:t>
      </w:r>
      <w:r>
        <w:rPr>
          <w:rFonts w:eastAsia="Times New Roman"/>
          <w:bdr w:val="none" w:sz="0" w:space="0" w:color="auto" w:frame="1"/>
        </w:rPr>
        <w:t xml:space="preserve">and taking </w:t>
      </w:r>
      <w:r>
        <w:rPr>
          <w:rFonts w:eastAsia="Times New Roman"/>
          <w:bdr w:val="none" w:sz="0" w:space="0" w:color="auto" w:frame="1"/>
        </w:rPr>
        <w:tab/>
        <w:t xml:space="preserve">full account of the current cost of living crisis affecting all of our tenants, </w:t>
      </w:r>
      <w:r w:rsidR="00042B59">
        <w:rPr>
          <w:rFonts w:eastAsia="Times New Roman"/>
          <w:bdr w:val="none" w:sz="0" w:space="0" w:color="auto" w:frame="1"/>
        </w:rPr>
        <w:t xml:space="preserve">I propose </w:t>
      </w:r>
      <w:r w:rsidR="00042B59">
        <w:rPr>
          <w:rFonts w:eastAsia="Times New Roman"/>
          <w:bdr w:val="none" w:sz="0" w:space="0" w:color="auto" w:frame="1"/>
        </w:rPr>
        <w:tab/>
        <w:t xml:space="preserve">that we consult on a </w:t>
      </w:r>
      <w:r w:rsidR="00042B59">
        <w:rPr>
          <w:rFonts w:eastAsia="Times New Roman"/>
          <w:b/>
          <w:bCs/>
          <w:bdr w:val="none" w:sz="0" w:space="0" w:color="auto" w:frame="1"/>
        </w:rPr>
        <w:t>5%</w:t>
      </w:r>
      <w:r w:rsidR="00042B59">
        <w:rPr>
          <w:rFonts w:eastAsia="Times New Roman"/>
          <w:bdr w:val="none" w:sz="0" w:space="0" w:color="auto" w:frame="1"/>
        </w:rPr>
        <w:t xml:space="preserve"> </w:t>
      </w:r>
      <w:r w:rsidR="00042B59" w:rsidRPr="00042B59">
        <w:rPr>
          <w:rFonts w:eastAsia="Times New Roman"/>
          <w:u w:val="single"/>
          <w:bdr w:val="none" w:sz="0" w:space="0" w:color="auto" w:frame="1"/>
        </w:rPr>
        <w:t>increase to all rents and service charges for 2023/24</w:t>
      </w:r>
      <w:r w:rsidR="00042B59">
        <w:rPr>
          <w:rFonts w:eastAsia="Times New Roman"/>
          <w:bdr w:val="none" w:sz="0" w:space="0" w:color="auto" w:frame="1"/>
        </w:rPr>
        <w:t xml:space="preserve"> which </w:t>
      </w:r>
      <w:r w:rsidR="00042B59">
        <w:rPr>
          <w:rFonts w:eastAsia="Times New Roman"/>
          <w:bdr w:val="none" w:sz="0" w:space="0" w:color="auto" w:frame="1"/>
        </w:rPr>
        <w:tab/>
        <w:t xml:space="preserve">remains 5.5% lower than the inflation rate of December 2022 and 4% lower than the </w:t>
      </w:r>
      <w:r w:rsidR="00042B59">
        <w:rPr>
          <w:rFonts w:eastAsia="Times New Roman"/>
          <w:bdr w:val="none" w:sz="0" w:space="0" w:color="auto" w:frame="1"/>
        </w:rPr>
        <w:tab/>
        <w:t xml:space="preserve">average of 9.05% over the year January – December 2022 as well as being 1.1% </w:t>
      </w:r>
      <w:r w:rsidR="00042B59">
        <w:rPr>
          <w:rFonts w:eastAsia="Times New Roman"/>
          <w:bdr w:val="none" w:sz="0" w:space="0" w:color="auto" w:frame="1"/>
        </w:rPr>
        <w:tab/>
        <w:t xml:space="preserve">lower than the Scottish Government’s reported average increase of 6.1% for Housing </w:t>
      </w:r>
      <w:r w:rsidR="00042B59">
        <w:rPr>
          <w:rFonts w:eastAsia="Times New Roman"/>
          <w:bdr w:val="none" w:sz="0" w:space="0" w:color="auto" w:frame="1"/>
        </w:rPr>
        <w:tab/>
        <w:t>Associations.</w:t>
      </w:r>
    </w:p>
    <w:p w14:paraId="093C8A69" w14:textId="72969A29" w:rsidR="002D29E4" w:rsidRDefault="002D29E4" w:rsidP="004E17DE">
      <w:pPr>
        <w:shd w:val="clear" w:color="auto" w:fill="FFFFFF"/>
        <w:rPr>
          <w:rFonts w:eastAsia="Times New Roman"/>
          <w:bdr w:val="none" w:sz="0" w:space="0" w:color="auto" w:frame="1"/>
        </w:rPr>
      </w:pPr>
    </w:p>
    <w:p w14:paraId="7F61CB0A" w14:textId="0C02271F" w:rsidR="004E17DE" w:rsidRDefault="002D29E4" w:rsidP="002D29E4">
      <w:pPr>
        <w:shd w:val="clear" w:color="auto" w:fill="FFFFFF"/>
      </w:pPr>
      <w:r>
        <w:rPr>
          <w:rFonts w:eastAsia="Times New Roman"/>
          <w:bdr w:val="none" w:sz="0" w:space="0" w:color="auto" w:frame="1"/>
        </w:rPr>
        <w:t>5.6</w:t>
      </w:r>
      <w:r>
        <w:rPr>
          <w:rFonts w:eastAsia="Times New Roman"/>
          <w:bdr w:val="none" w:sz="0" w:space="0" w:color="auto" w:frame="1"/>
        </w:rPr>
        <w:tab/>
        <w:t xml:space="preserve">In proposing a 5% increase, I must also emphasise that the coming years may be </w:t>
      </w:r>
      <w:r>
        <w:rPr>
          <w:rFonts w:eastAsia="Times New Roman"/>
          <w:bdr w:val="none" w:sz="0" w:space="0" w:color="auto" w:frame="1"/>
        </w:rPr>
        <w:tab/>
        <w:t xml:space="preserve">challenging both in relation to maximising our income, reducing costs where </w:t>
      </w:r>
      <w:r>
        <w:rPr>
          <w:rFonts w:eastAsia="Times New Roman"/>
          <w:bdr w:val="none" w:sz="0" w:space="0" w:color="auto" w:frame="1"/>
        </w:rPr>
        <w:tab/>
        <w:t xml:space="preserve">available and appropriate, and subject to the revised 30 year life cycle component </w:t>
      </w:r>
      <w:r>
        <w:rPr>
          <w:rFonts w:eastAsia="Times New Roman"/>
          <w:bdr w:val="none" w:sz="0" w:space="0" w:color="auto" w:frame="1"/>
        </w:rPr>
        <w:tab/>
        <w:t>replacements and updated 5 year budget and business plan.</w:t>
      </w:r>
      <w:r w:rsidR="004E17DE">
        <w:tab/>
      </w:r>
    </w:p>
    <w:p w14:paraId="49A3980B" w14:textId="78AE7543" w:rsidR="002D29E4" w:rsidRDefault="002D29E4" w:rsidP="002D29E4">
      <w:pPr>
        <w:shd w:val="clear" w:color="auto" w:fill="FFFFFF"/>
      </w:pPr>
    </w:p>
    <w:p w14:paraId="5425422C" w14:textId="066CA1CA" w:rsidR="003706F8" w:rsidRPr="009D11F7" w:rsidRDefault="003706F8" w:rsidP="002D29E4">
      <w:pPr>
        <w:shd w:val="clear" w:color="auto" w:fill="FFFFFF"/>
      </w:pPr>
      <w:r>
        <w:t>5.7</w:t>
      </w:r>
      <w:r>
        <w:tab/>
        <w:t xml:space="preserve">This year may be a once in a financial cycle event, however it would be prudent of </w:t>
      </w:r>
      <w:r>
        <w:tab/>
        <w:t xml:space="preserve">the Association to review current spending priorities </w:t>
      </w:r>
      <w:r w:rsidR="009D11F7">
        <w:t xml:space="preserve">to ensure that we achieve best </w:t>
      </w:r>
      <w:r w:rsidR="009D11F7">
        <w:tab/>
        <w:t xml:space="preserve">value for money. </w:t>
      </w:r>
    </w:p>
    <w:p w14:paraId="28AF04C7" w14:textId="5D571292" w:rsidR="003706F8" w:rsidRDefault="003706F8" w:rsidP="002D29E4">
      <w:pPr>
        <w:shd w:val="clear" w:color="auto" w:fill="FFFFFF"/>
      </w:pPr>
    </w:p>
    <w:p w14:paraId="7070416E" w14:textId="1D8B035D" w:rsidR="003706F8" w:rsidRDefault="003706F8" w:rsidP="002D29E4">
      <w:pPr>
        <w:shd w:val="clear" w:color="auto" w:fill="FFFFFF"/>
      </w:pPr>
    </w:p>
    <w:p w14:paraId="0B6C5E92" w14:textId="5774AF6D" w:rsidR="003706F8" w:rsidRDefault="003706F8" w:rsidP="002D29E4">
      <w:pPr>
        <w:shd w:val="clear" w:color="auto" w:fill="FFFFFF"/>
      </w:pPr>
    </w:p>
    <w:p w14:paraId="327ABEC4" w14:textId="29F53AB3" w:rsidR="003706F8" w:rsidRDefault="003706F8" w:rsidP="002D29E4">
      <w:pPr>
        <w:shd w:val="clear" w:color="auto" w:fill="FFFFFF"/>
      </w:pPr>
    </w:p>
    <w:p w14:paraId="3FD9A22B" w14:textId="1B2F2DDB" w:rsidR="003706F8" w:rsidRDefault="003706F8" w:rsidP="002D29E4">
      <w:pPr>
        <w:shd w:val="clear" w:color="auto" w:fill="FFFFFF"/>
      </w:pPr>
    </w:p>
    <w:p w14:paraId="7BFEE30D" w14:textId="7C596846" w:rsidR="003706F8" w:rsidRDefault="003706F8" w:rsidP="002D29E4">
      <w:pPr>
        <w:shd w:val="clear" w:color="auto" w:fill="FFFFFF"/>
      </w:pPr>
    </w:p>
    <w:p w14:paraId="0D023DB1" w14:textId="77777777" w:rsidR="003706F8" w:rsidRPr="004E17DE" w:rsidRDefault="003706F8" w:rsidP="002D29E4">
      <w:pPr>
        <w:shd w:val="clear" w:color="auto" w:fill="FFFFFF"/>
      </w:pPr>
    </w:p>
    <w:sectPr w:rsidR="003706F8" w:rsidRPr="004E17DE" w:rsidSect="00282427">
      <w:headerReference w:type="first" r:id="rId15"/>
      <w:pgSz w:w="11910" w:h="16840" w:code="9"/>
      <w:pgMar w:top="1440" w:right="1077" w:bottom="1440" w:left="107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16FC" w14:textId="77777777" w:rsidR="00D7339C" w:rsidRDefault="00D7339C" w:rsidP="00282427">
      <w:r>
        <w:separator/>
      </w:r>
    </w:p>
  </w:endnote>
  <w:endnote w:type="continuationSeparator" w:id="0">
    <w:p w14:paraId="20A20B55" w14:textId="77777777" w:rsidR="00D7339C" w:rsidRDefault="00D7339C" w:rsidP="00282427">
      <w:r>
        <w:continuationSeparator/>
      </w:r>
    </w:p>
  </w:endnote>
  <w:endnote w:id="1">
    <w:p w14:paraId="71ED4372" w14:textId="5C1A5C51" w:rsidR="005D1C3B" w:rsidRDefault="0044656D">
      <w:pPr>
        <w:pStyle w:val="EndnoteText"/>
        <w:rPr>
          <w:szCs w:val="24"/>
        </w:rPr>
      </w:pPr>
      <w:r>
        <w:rPr>
          <w:rStyle w:val="EndnoteReference"/>
        </w:rPr>
        <w:endnoteRef/>
      </w:r>
      <w:r>
        <w:t xml:space="preserve"> Report published 12 January 2023 </w:t>
      </w:r>
      <w:r w:rsidR="005D1C3B">
        <w:rPr>
          <w:szCs w:val="24"/>
        </w:rPr>
        <w:tab/>
      </w:r>
    </w:p>
    <w:p w14:paraId="3BA36C72" w14:textId="72AD631B" w:rsidR="00312186" w:rsidRDefault="00312186" w:rsidP="005D1C3B">
      <w:pPr>
        <w:pStyle w:val="EndnoteText"/>
        <w:rPr>
          <w:szCs w:val="24"/>
        </w:rPr>
      </w:pPr>
      <w:r>
        <w:t xml:space="preserve"> </w:t>
      </w:r>
      <w:hyperlink r:id="rId1" w:history="1">
        <w:r w:rsidRPr="000539E3">
          <w:rPr>
            <w:rStyle w:val="Hyperlink"/>
            <w:szCs w:val="24"/>
          </w:rPr>
          <w:t>https://www.gov.scot/publications/cost-living-tenant-protection-scotland-act-2022-first-report-scottish-parliament/pages/12/</w:t>
        </w:r>
      </w:hyperlink>
    </w:p>
    <w:p w14:paraId="7EE9B00E" w14:textId="661B535B" w:rsidR="00A11126" w:rsidRDefault="00A11126" w:rsidP="005D1C3B">
      <w:pPr>
        <w:pStyle w:val="EndnoteText"/>
      </w:pPr>
      <w:r>
        <w:rPr>
          <w:szCs w:val="24"/>
          <w:vertAlign w:val="superscript"/>
        </w:rPr>
        <w:t xml:space="preserve">2 </w:t>
      </w:r>
      <w:hyperlink r:id="rId2" w:history="1">
        <w:r w:rsidRPr="009E23A4">
          <w:rPr>
            <w:rStyle w:val="Hyperlink"/>
          </w:rPr>
          <w:t>https://www.ons.gov.uk/releases/consumerpriceinflationukdecember2022</w:t>
        </w:r>
      </w:hyperlink>
      <w:r>
        <w:t xml:space="preserve"> </w:t>
      </w:r>
    </w:p>
    <w:p w14:paraId="4159B3B5" w14:textId="1DA84610" w:rsidR="00312186" w:rsidRDefault="00312186" w:rsidP="005D1C3B">
      <w:pPr>
        <w:pStyle w:val="EndnoteText"/>
      </w:pPr>
      <w:r>
        <w:rPr>
          <w:vertAlign w:val="superscript"/>
        </w:rPr>
        <w:t xml:space="preserve">3 </w:t>
      </w:r>
      <w:hyperlink r:id="rId3" w:history="1">
        <w:r w:rsidR="008C3FC0" w:rsidRPr="00773DD2">
          <w:rPr>
            <w:rStyle w:val="Hyperlink"/>
          </w:rPr>
          <w:t>https://www.ons.gov.uk/economy/inflationandpriceindices/timeseries/d7g7/mm23</w:t>
        </w:r>
      </w:hyperlink>
      <w:r w:rsidR="008C3FC0">
        <w:t xml:space="preserve"> </w:t>
      </w:r>
    </w:p>
    <w:p w14:paraId="5B94A1E3" w14:textId="701365A4" w:rsidR="00C61BC5" w:rsidRDefault="00C61BC5" w:rsidP="005D1C3B">
      <w:pPr>
        <w:pStyle w:val="EndnoteText"/>
      </w:pPr>
    </w:p>
    <w:p w14:paraId="332F3F29" w14:textId="3696E807" w:rsidR="00C61BC5" w:rsidRDefault="00C61BC5" w:rsidP="005D1C3B">
      <w:pPr>
        <w:pStyle w:val="EndnoteText"/>
      </w:pPr>
    </w:p>
    <w:p w14:paraId="5650301B" w14:textId="5D52544C" w:rsidR="00C61BC5" w:rsidRDefault="00C61BC5" w:rsidP="005D1C3B">
      <w:pPr>
        <w:pStyle w:val="EndnoteText"/>
      </w:pPr>
    </w:p>
    <w:p w14:paraId="3A78D54E" w14:textId="489BE82D" w:rsidR="00C61BC5" w:rsidRDefault="00C61BC5" w:rsidP="005D1C3B">
      <w:pPr>
        <w:pStyle w:val="EndnoteText"/>
      </w:pPr>
    </w:p>
    <w:p w14:paraId="2026F432" w14:textId="77777777" w:rsidR="00C61BC5" w:rsidRPr="008C3FC0" w:rsidRDefault="00C61BC5" w:rsidP="005D1C3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1870" w14:textId="77777777" w:rsidR="00D7339C" w:rsidRDefault="00D7339C" w:rsidP="00282427">
      <w:r>
        <w:separator/>
      </w:r>
    </w:p>
  </w:footnote>
  <w:footnote w:type="continuationSeparator" w:id="0">
    <w:p w14:paraId="0C7E53ED" w14:textId="77777777" w:rsidR="00D7339C" w:rsidRDefault="00D7339C" w:rsidP="0028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108E" w14:textId="3AFE8A40" w:rsidR="00282427" w:rsidRDefault="00186B3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40D7CBE1" wp14:editId="1C59C59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91885" cy="26670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91885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BDBE165" w14:textId="046D6224" w:rsidR="00282427" w:rsidRDefault="0028242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ITEM 10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D7CBE1" id="Rectangle 1" o:spid="_x0000_s1026" style="position:absolute;margin-left:0;margin-top:0;width:487.55pt;height:21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BDBE165" w14:textId="046D6224" w:rsidR="00282427" w:rsidRDefault="0028242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ITEM 10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A31"/>
    <w:multiLevelType w:val="hybridMultilevel"/>
    <w:tmpl w:val="733C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41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27"/>
    <w:rsid w:val="00035914"/>
    <w:rsid w:val="00042B59"/>
    <w:rsid w:val="000544B5"/>
    <w:rsid w:val="00126B5C"/>
    <w:rsid w:val="00186B38"/>
    <w:rsid w:val="001D0ECB"/>
    <w:rsid w:val="001E3A6D"/>
    <w:rsid w:val="00282427"/>
    <w:rsid w:val="002A0A3B"/>
    <w:rsid w:val="002D29E4"/>
    <w:rsid w:val="00312186"/>
    <w:rsid w:val="0031648A"/>
    <w:rsid w:val="003706F8"/>
    <w:rsid w:val="00391312"/>
    <w:rsid w:val="003D17E9"/>
    <w:rsid w:val="003F75E7"/>
    <w:rsid w:val="0044656D"/>
    <w:rsid w:val="00483D37"/>
    <w:rsid w:val="004B0A24"/>
    <w:rsid w:val="004E17DE"/>
    <w:rsid w:val="004F6585"/>
    <w:rsid w:val="005752E8"/>
    <w:rsid w:val="005A3E33"/>
    <w:rsid w:val="005D1C3B"/>
    <w:rsid w:val="00616EEC"/>
    <w:rsid w:val="006A499C"/>
    <w:rsid w:val="006C75B1"/>
    <w:rsid w:val="00716374"/>
    <w:rsid w:val="00716743"/>
    <w:rsid w:val="00742B45"/>
    <w:rsid w:val="0088530A"/>
    <w:rsid w:val="008C3FC0"/>
    <w:rsid w:val="008D3DF0"/>
    <w:rsid w:val="00954C40"/>
    <w:rsid w:val="009D11F7"/>
    <w:rsid w:val="00A11126"/>
    <w:rsid w:val="00A13EEF"/>
    <w:rsid w:val="00A82A45"/>
    <w:rsid w:val="00B413EB"/>
    <w:rsid w:val="00BC7165"/>
    <w:rsid w:val="00BD31E7"/>
    <w:rsid w:val="00C61BC5"/>
    <w:rsid w:val="00C6759B"/>
    <w:rsid w:val="00CE1102"/>
    <w:rsid w:val="00D06E30"/>
    <w:rsid w:val="00D7339C"/>
    <w:rsid w:val="00E82374"/>
    <w:rsid w:val="00E906CA"/>
    <w:rsid w:val="00EB475A"/>
    <w:rsid w:val="00F379AC"/>
    <w:rsid w:val="00FC36E9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C3BE"/>
  <w15:chartTrackingRefBased/>
  <w15:docId w15:val="{40C61D50-D7EA-44E4-9F00-1359032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E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27"/>
  </w:style>
  <w:style w:type="paragraph" w:styleId="Footer">
    <w:name w:val="footer"/>
    <w:basedOn w:val="Normal"/>
    <w:link w:val="FooterChar"/>
    <w:uiPriority w:val="99"/>
    <w:unhideWhenUsed/>
    <w:rsid w:val="00282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427"/>
  </w:style>
  <w:style w:type="paragraph" w:styleId="EndnoteText">
    <w:name w:val="endnote text"/>
    <w:basedOn w:val="Normal"/>
    <w:link w:val="EndnoteTextChar"/>
    <w:uiPriority w:val="99"/>
    <w:unhideWhenUsed/>
    <w:rsid w:val="0044656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656D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65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6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5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4656D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0ECB"/>
    <w:rPr>
      <w:rFonts w:ascii="Times New Roman" w:eastAsia="Times New Roman" w:hAnsi="Times New Roman" w:cs="Times New Roman"/>
      <w:b/>
      <w:bCs/>
      <w:snapToGrid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st-living-tenant-protection-scotland-act-2022-first-report-scottish-parliament/pages/12/" TargetMode="External"/><Relationship Id="rId13" Type="http://schemas.openxmlformats.org/officeDocument/2006/relationships/hyperlink" Target="https://www.gov.scot/publications/cost-living-tenant-protection-scotland-act-2022-first-report-scottish-parliament/pages/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cot/publications/cost-living-tenant-protection-scotland-act-2022-first-report-scottish-parliament/pages/1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cot/publications/cost-living-tenant-protection-scotland-act-2022-first-report-scottish-parliament/pages/1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scot/publications/cost-living-tenant-protection-scotland-act-2022-first-report-scottish-parliament/pages/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cost-living-tenant-protection-scotland-act-2022-first-report-scottish-parliament/pages/12/" TargetMode="External"/><Relationship Id="rId14" Type="http://schemas.openxmlformats.org/officeDocument/2006/relationships/chart" Target="charts/chart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ns.gov.uk/economy/inflationandpriceindices/timeseries/d7g7/mm23" TargetMode="External"/><Relationship Id="rId2" Type="http://schemas.openxmlformats.org/officeDocument/2006/relationships/hyperlink" Target="https://www.ons.gov.uk/releases/consumerpriceinflationukdecember2022" TargetMode="External"/><Relationship Id="rId1" Type="http://schemas.openxmlformats.org/officeDocument/2006/relationships/hyperlink" Target="https://www.gov.scot/publications/cost-living-tenant-protection-scotland-act-2022-first-report-scottish-parliament/pages/12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ul\Downloads\series-180123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CPI - INFLATION JANUARY</a:t>
            </a:r>
            <a:r>
              <a:rPr lang="en-GB" baseline="0"/>
              <a:t> - DECEMBER 2022</a:t>
            </a:r>
            <a:endParaRPr lang="en-GB"/>
          </a:p>
        </c:rich>
      </c:tx>
      <c:layout>
        <c:manualLayout>
          <c:xMode val="edge"/>
          <c:yMode val="edge"/>
          <c:x val="0.15927777777777777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'series-180123'!$A$9:$A$20</c:f>
              <c:strCache>
                <c:ptCount val="12"/>
                <c:pt idx="0">
                  <c:v>2022 JAN</c:v>
                </c:pt>
                <c:pt idx="1">
                  <c:v>2022 FEB</c:v>
                </c:pt>
                <c:pt idx="2">
                  <c:v>2022 MAR</c:v>
                </c:pt>
                <c:pt idx="3">
                  <c:v>2022 APR</c:v>
                </c:pt>
                <c:pt idx="4">
                  <c:v>2022 MAY</c:v>
                </c:pt>
                <c:pt idx="5">
                  <c:v>2022 JUN</c:v>
                </c:pt>
                <c:pt idx="6">
                  <c:v>2022 JUL</c:v>
                </c:pt>
                <c:pt idx="7">
                  <c:v>2022 AUG</c:v>
                </c:pt>
                <c:pt idx="8">
                  <c:v>2022 SEP</c:v>
                </c:pt>
                <c:pt idx="9">
                  <c:v>2022 OCT</c:v>
                </c:pt>
                <c:pt idx="10">
                  <c:v>2022 NOV</c:v>
                </c:pt>
                <c:pt idx="11">
                  <c:v>2022 DEC</c:v>
                </c:pt>
              </c:strCache>
            </c:strRef>
          </c:cat>
          <c:val>
            <c:numRef>
              <c:f>'series-180123'!$B$9:$B$20</c:f>
              <c:numCache>
                <c:formatCode>General</c:formatCode>
                <c:ptCount val="12"/>
                <c:pt idx="0">
                  <c:v>5.5</c:v>
                </c:pt>
                <c:pt idx="1">
                  <c:v>6.2</c:v>
                </c:pt>
                <c:pt idx="2">
                  <c:v>7</c:v>
                </c:pt>
                <c:pt idx="3">
                  <c:v>9</c:v>
                </c:pt>
                <c:pt idx="4">
                  <c:v>9.1</c:v>
                </c:pt>
                <c:pt idx="5">
                  <c:v>9.4</c:v>
                </c:pt>
                <c:pt idx="6">
                  <c:v>10.1</c:v>
                </c:pt>
                <c:pt idx="7">
                  <c:v>9.9</c:v>
                </c:pt>
                <c:pt idx="8">
                  <c:v>10.1</c:v>
                </c:pt>
                <c:pt idx="9">
                  <c:v>11.1</c:v>
                </c:pt>
                <c:pt idx="10">
                  <c:v>10.7</c:v>
                </c:pt>
                <c:pt idx="11">
                  <c:v>10.5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F3-44C1-B14A-4491C91DDE2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7507375"/>
        <c:axId val="1127509039"/>
      </c:lineChart>
      <c:catAx>
        <c:axId val="1127507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509039"/>
        <c:crosses val="autoZero"/>
        <c:auto val="1"/>
        <c:lblAlgn val="ctr"/>
        <c:lblOffset val="100"/>
        <c:noMultiLvlLbl val="0"/>
      </c:catAx>
      <c:valAx>
        <c:axId val="11275090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275073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3B88-5658-4B21-B810-28017347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10</vt:lpstr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10</dc:title>
  <dc:subject/>
  <dc:creator>Paul Immelman</dc:creator>
  <cp:keywords/>
  <dc:description/>
  <cp:lastModifiedBy>Paul Immelman</cp:lastModifiedBy>
  <cp:revision>5</cp:revision>
  <dcterms:created xsi:type="dcterms:W3CDTF">2023-01-13T12:37:00Z</dcterms:created>
  <dcterms:modified xsi:type="dcterms:W3CDTF">2023-01-20T11:35:00Z</dcterms:modified>
</cp:coreProperties>
</file>